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AE370" w14:textId="5AEBE691" w:rsidR="004F5BF6" w:rsidRPr="000C5734" w:rsidRDefault="004F5BF6" w:rsidP="004F5BF6">
      <w:pPr>
        <w:pStyle w:val="3GPPHeader"/>
        <w:rPr>
          <w:highlight w:val="yellow"/>
        </w:rPr>
      </w:pPr>
      <w:r w:rsidRPr="000C5734">
        <w:t xml:space="preserve">3GPP TSG RAN WG1 Meeting </w:t>
      </w:r>
      <w:r>
        <w:t>#92bis</w:t>
      </w:r>
      <w:r w:rsidRPr="000C5734">
        <w:tab/>
      </w:r>
      <w:r w:rsidR="0074308E" w:rsidRPr="0074308E">
        <w:t>R1-1804982</w:t>
      </w:r>
    </w:p>
    <w:p w14:paraId="6223F4CF" w14:textId="66158F01" w:rsidR="004F5BF6" w:rsidRPr="007679B0" w:rsidRDefault="004F5BF6" w:rsidP="004F5BF6">
      <w:pPr>
        <w:pStyle w:val="3GPPHeader"/>
      </w:pPr>
      <w:r>
        <w:t>Sanya</w:t>
      </w:r>
      <w:r w:rsidRPr="000C5734">
        <w:t>,</w:t>
      </w:r>
      <w:r>
        <w:t xml:space="preserve"> China,</w:t>
      </w:r>
      <w:r w:rsidRPr="000C5734">
        <w:t xml:space="preserve"> </w:t>
      </w:r>
      <w:r>
        <w:t>16</w:t>
      </w:r>
      <w:r w:rsidRPr="00E90812">
        <w:rPr>
          <w:vertAlign w:val="superscript"/>
        </w:rPr>
        <w:t>th</w:t>
      </w:r>
      <w:r>
        <w:t xml:space="preserve"> – 20</w:t>
      </w:r>
      <w:r w:rsidRPr="00E90812">
        <w:rPr>
          <w:vertAlign w:val="superscript"/>
        </w:rPr>
        <w:t>th</w:t>
      </w:r>
      <w:r>
        <w:t xml:space="preserve"> April,</w:t>
      </w:r>
      <w:r w:rsidRPr="000C5734">
        <w:t xml:space="preserve"> 2018</w:t>
      </w:r>
    </w:p>
    <w:p w14:paraId="1873A116" w14:textId="77777777" w:rsidR="004F5BF6" w:rsidRPr="0078137E" w:rsidRDefault="004F5BF6" w:rsidP="004F5BF6">
      <w:pPr>
        <w:pStyle w:val="3GPPHeader"/>
      </w:pPr>
    </w:p>
    <w:p w14:paraId="26F79472" w14:textId="77777777" w:rsidR="004F5BF6" w:rsidRPr="0078137E" w:rsidRDefault="004F5BF6" w:rsidP="004F5BF6">
      <w:pPr>
        <w:pStyle w:val="3GPPHeader"/>
      </w:pPr>
      <w:r w:rsidRPr="0078137E">
        <w:t>Source:</w:t>
      </w:r>
      <w:r w:rsidRPr="0078137E">
        <w:tab/>
        <w:t>Ericsson</w:t>
      </w:r>
    </w:p>
    <w:p w14:paraId="0306AFE3" w14:textId="425D8BD1" w:rsidR="004F5BF6" w:rsidRPr="0078137E" w:rsidRDefault="004F5BF6" w:rsidP="004F5BF6">
      <w:pPr>
        <w:pStyle w:val="3GPPHeader"/>
      </w:pPr>
      <w:r w:rsidRPr="0078137E">
        <w:t>Title:</w:t>
      </w:r>
      <w:r w:rsidRPr="0078137E">
        <w:tab/>
      </w:r>
      <w:r w:rsidR="008F71EF" w:rsidRPr="0078137E">
        <w:t>Remaining issues on CSI-RS</w:t>
      </w:r>
    </w:p>
    <w:p w14:paraId="32963C1B" w14:textId="417F732A" w:rsidR="004F5BF6" w:rsidRPr="0078137E" w:rsidRDefault="004F5BF6" w:rsidP="004F5BF6">
      <w:pPr>
        <w:pStyle w:val="3GPPHeader"/>
      </w:pPr>
      <w:r w:rsidRPr="0078137E">
        <w:t>Agenda Item:</w:t>
      </w:r>
      <w:r w:rsidRPr="0078137E">
        <w:tab/>
        <w:t>7.1.2.</w:t>
      </w:r>
      <w:r w:rsidR="0074308E" w:rsidRPr="0078137E">
        <w:t>3</w:t>
      </w:r>
      <w:r w:rsidRPr="0078137E">
        <w:t>.</w:t>
      </w:r>
      <w:r w:rsidR="0074308E" w:rsidRPr="0078137E">
        <w:t>8</w:t>
      </w:r>
    </w:p>
    <w:p w14:paraId="488CAAD5" w14:textId="77777777" w:rsidR="004F5BF6" w:rsidRPr="0078137E" w:rsidRDefault="004F5BF6" w:rsidP="004F5BF6">
      <w:pPr>
        <w:pStyle w:val="3GPPHeader"/>
      </w:pPr>
      <w:r w:rsidRPr="0078137E">
        <w:t>Document for:</w:t>
      </w:r>
      <w:r w:rsidRPr="0078137E">
        <w:tab/>
        <w:t>Discussion and Decision</w:t>
      </w:r>
    </w:p>
    <w:p w14:paraId="72B2365A" w14:textId="77777777" w:rsidR="00E90E49" w:rsidRPr="00CE0424" w:rsidRDefault="007F75D5" w:rsidP="00CE0424">
      <w:pPr>
        <w:pStyle w:val="Heading1"/>
      </w:pPr>
      <w:bookmarkStart w:id="0" w:name="_Ref510713888"/>
      <w:bookmarkStart w:id="1" w:name="_Toc510772722"/>
      <w:bookmarkStart w:id="2" w:name="_Toc510772812"/>
      <w:r>
        <w:t>Introduction</w:t>
      </w:r>
      <w:bookmarkEnd w:id="0"/>
      <w:bookmarkEnd w:id="1"/>
      <w:bookmarkEnd w:id="2"/>
    </w:p>
    <w:p w14:paraId="281F5779" w14:textId="45E500ED" w:rsidR="00923677" w:rsidRPr="006A3731" w:rsidRDefault="00923677" w:rsidP="00923677">
      <w:pPr>
        <w:pStyle w:val="BodyText"/>
      </w:pPr>
      <w:r w:rsidRPr="006A3731">
        <w:t>In RAN1 AdHoc 1801,</w:t>
      </w:r>
      <w:r w:rsidR="008A5DF3">
        <w:t xml:space="preserve"> and</w:t>
      </w:r>
      <w:r>
        <w:t xml:space="preserve"> RAN1 #92 </w:t>
      </w:r>
      <w:r w:rsidRPr="006A3731">
        <w:t xml:space="preserve">the following working assumption </w:t>
      </w:r>
      <w:r>
        <w:t xml:space="preserve">and agreement </w:t>
      </w:r>
      <w:r w:rsidRPr="006A3731">
        <w:t>was made:</w:t>
      </w:r>
    </w:p>
    <w:p w14:paraId="13DAEDC3" w14:textId="0930C475" w:rsidR="00923677" w:rsidRDefault="00923677" w:rsidP="00923677">
      <w:r>
        <w:rPr>
          <w:noProof/>
        </w:rPr>
        <mc:AlternateContent>
          <mc:Choice Requires="wps">
            <w:drawing>
              <wp:inline distT="0" distB="0" distL="0" distR="0" wp14:anchorId="1B3FE4E3" wp14:editId="5A819BBF">
                <wp:extent cx="5943600" cy="4748981"/>
                <wp:effectExtent l="0" t="0" r="12700" b="1397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47489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3A8022" w14:textId="77777777" w:rsidR="00F25852" w:rsidRPr="006A3731" w:rsidRDefault="00F25852" w:rsidP="00923677">
                            <w:pPr>
                              <w:rPr>
                                <w:lang w:eastAsia="x-none"/>
                              </w:rPr>
                            </w:pPr>
                            <w:r w:rsidRPr="006A3731">
                              <w:rPr>
                                <w:highlight w:val="darkYellow"/>
                                <w:lang w:eastAsia="x-none"/>
                              </w:rPr>
                              <w:t>Working Assumption</w:t>
                            </w:r>
                          </w:p>
                          <w:p w14:paraId="22525D70" w14:textId="77777777" w:rsidR="00F25852" w:rsidRPr="006A3731" w:rsidRDefault="00F25852" w:rsidP="00923677">
                            <w:pPr>
                              <w:rPr>
                                <w:lang w:eastAsia="x-none"/>
                              </w:rPr>
                            </w:pPr>
                            <w:r w:rsidRPr="006A3731">
                              <w:rPr>
                                <w:lang w:eastAsia="x-none"/>
                              </w:rPr>
                              <w:t>Agree to the following text for TS.38.211 with the understanding that the 1 port rate=1/2 case needs to be checked. If there is an issue with the working assumption for 1 port rate=1/2, technical details will be modified.</w:t>
                            </w:r>
                          </w:p>
                          <w:p w14:paraId="4CD7574C" w14:textId="77777777" w:rsidR="00F25852" w:rsidRPr="006A3731" w:rsidRDefault="00F25852" w:rsidP="00923677">
                            <w:pPr>
                              <w:pStyle w:val="BodyText"/>
                              <w:rPr>
                                <w:rFonts w:ascii="Arial" w:hAnsi="Arial" w:cs="Arial"/>
                              </w:rPr>
                            </w:pPr>
                            <w:r w:rsidRPr="006A3731">
                              <w:rPr>
                                <w:rFonts w:ascii="Arial" w:hAnsi="Arial" w:cs="Arial"/>
                              </w:rPr>
                              <w:t>7.4.1.5.3</w:t>
                            </w:r>
                            <w:r w:rsidRPr="006A3731">
                              <w:rPr>
                                <w:rFonts w:ascii="Arial" w:hAnsi="Arial" w:cs="Arial"/>
                              </w:rPr>
                              <w:tab/>
                              <w:t>Mapping to physical resources</w:t>
                            </w:r>
                          </w:p>
                          <w:p w14:paraId="7C3CCEA1" w14:textId="77777777" w:rsidR="00F25852" w:rsidRPr="006A3731" w:rsidRDefault="00F25852" w:rsidP="00923677">
                            <w:pPr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6A3731">
                              <w:t xml:space="preserve">For each CSI-RS component configured, the UE shall assume the sequence </w:t>
                            </w:r>
                            <w:r w:rsidRPr="00760E5F">
                              <w:rPr>
                                <w:color w:val="FF0000"/>
                                <w:position w:val="-10"/>
                              </w:rPr>
                              <w:object w:dxaOrig="484" w:dyaOrig="301" w14:anchorId="26D6923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5.2pt;height:15pt" o:ole="">
                                  <v:imagedata r:id="rId8" o:title=""/>
                                </v:shape>
                                <o:OLEObject Type="Embed" ProgID="Equation.3" ShapeID="_x0000_i1026" DrawAspect="Content" ObjectID="_1584525420" r:id="rId9"/>
                              </w:object>
                            </w:r>
                            <w:r w:rsidRPr="006A3731">
                              <w:t xml:space="preserve"> being mapped to physical resources according to </w:t>
                            </w:r>
                          </w:p>
                          <w:p w14:paraId="43CFF664" w14:textId="77777777" w:rsidR="00F25852" w:rsidRPr="00927D21" w:rsidRDefault="00F25852" w:rsidP="00923677">
                            <w:pPr>
                              <w:jc w:val="center"/>
                              <w:rPr>
                                <w:rFonts w:eastAsia="Malgun Gothic"/>
                                <w:color w:val="FF0000"/>
                                <w:lang w:eastAsia="ko-K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9A31D1" wp14:editId="17761564">
                                  <wp:extent cx="5915025" cy="2505075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15025" cy="2505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C2C3691" w14:textId="77777777" w:rsidR="00F25852" w:rsidRDefault="00F25852" w:rsidP="00923677">
                            <w:pPr>
                              <w:tabs>
                                <w:tab w:val="left" w:pos="2585"/>
                              </w:tabs>
                              <w:snapToGrid w:val="0"/>
                              <w:rPr>
                                <w:rFonts w:eastAsia="Malgun Gothic"/>
                                <w:color w:val="0070C0"/>
                                <w:lang w:eastAsia="ko-KR"/>
                              </w:rPr>
                            </w:pPr>
                            <w:r w:rsidRPr="006A3731">
                              <w:rPr>
                                <w:color w:val="FF0000"/>
                              </w:rPr>
                              <w:t xml:space="preserve">under the condition that the resource elements indexed by </w:t>
                            </w:r>
                            <w:r w:rsidRPr="00760E5F">
                              <w:rPr>
                                <w:color w:val="FF0000"/>
                                <w:position w:val="-8"/>
                              </w:rPr>
                              <w:object w:dxaOrig="333" w:dyaOrig="247" w14:anchorId="10B367DA">
                                <v:shape id="_x0000_i1028" type="#_x0000_t75" style="width:16.35pt;height:11.95pt" o:ole="">
                                  <v:imagedata r:id="rId11" o:title=""/>
                                </v:shape>
                                <o:OLEObject Type="Embed" ProgID="Equation.3" ShapeID="_x0000_i1028" DrawAspect="Content" ObjectID="_1584525421" r:id="rId12"/>
                              </w:object>
                            </w:r>
                            <w:r w:rsidRPr="006A3731">
                              <w:rPr>
                                <w:color w:val="FF0000"/>
                              </w:rPr>
                              <w:t xml:space="preserve">are within the resource blocks occupied by the CSI-RS for which the UE is configured. The reference point for </w:t>
                            </w:r>
                            <w:r w:rsidRPr="00A50A37">
                              <w:rPr>
                                <w:color w:val="FF0000"/>
                                <w:position w:val="-6"/>
                              </w:rPr>
                              <w:object w:dxaOrig="175" w:dyaOrig="238" w14:anchorId="4DA3C7F2">
                                <v:shape id="_x0000_i1030" type="#_x0000_t75" style="width:8.85pt;height:11.95pt">
                                  <v:imagedata r:id="rId13" o:title=""/>
                                </v:shape>
                                <o:OLEObject Type="Embed" ProgID="Equation.3" ShapeID="_x0000_i1030" DrawAspect="Content" ObjectID="_1584525422" r:id="rId14"/>
                              </w:object>
                            </w:r>
                            <w:r w:rsidRPr="006A3731">
                              <w:rPr>
                                <w:color w:val="FF0000"/>
                              </w:rPr>
                              <w:t xml:space="preserve"> is subcarrier 0 in common resource block 0.</w:t>
                            </w:r>
                            <w:r w:rsidRPr="006A3731">
                              <w:rPr>
                                <w:rFonts w:eastAsia="Malgun Gothic" w:hint="eastAsia"/>
                                <w:color w:val="FF0000"/>
                                <w:lang w:eastAsia="ko-KR"/>
                              </w:rPr>
                              <w:t xml:space="preserve"> </w:t>
                            </w:r>
                            <w:r w:rsidRPr="006A3731">
                              <w:rPr>
                                <w:rFonts w:eastAsia="Malgun Gothic"/>
                                <w:color w:val="0070C0"/>
                                <w:lang w:eastAsia="ko-KR"/>
                              </w:rPr>
                              <w:t xml:space="preserve">The value of </w:t>
                            </w:r>
                            <m:oMath>
                              <m:r>
                                <w:rPr>
                                  <w:rFonts w:ascii="Cambria Math" w:eastAsia="Malgun Gothic" w:hAnsi="Cambria Math"/>
                                  <w:color w:val="0070C0"/>
                                  <w:lang w:eastAsia="ko-KR"/>
                                </w:rPr>
                                <m:t>ρ</m:t>
                              </m:r>
                            </m:oMath>
                            <w:r w:rsidRPr="006A3731">
                              <w:rPr>
                                <w:rFonts w:eastAsia="Malgun Gothic"/>
                                <w:color w:val="0070C0"/>
                                <w:lang w:eastAsia="ko-KR"/>
                              </w:rPr>
                              <w:t xml:space="preserve"> is given by the higher-layer parameter </w:t>
                            </w:r>
                            <w:r w:rsidRPr="006A3731">
                              <w:rPr>
                                <w:rFonts w:eastAsia="SimSun"/>
                                <w:i/>
                                <w:color w:val="0070C0"/>
                              </w:rPr>
                              <w:t>CSI-RS-Density</w:t>
                            </w:r>
                            <w:r w:rsidRPr="006A3731">
                              <w:rPr>
                                <w:rFonts w:eastAsia="Malgun Gothic"/>
                                <w:color w:val="0070C0"/>
                                <w:lang w:eastAsia="ko-KR"/>
                              </w:rPr>
                              <w:t>.</w:t>
                            </w:r>
                          </w:p>
                          <w:p w14:paraId="267B3C42" w14:textId="77777777" w:rsidR="00F25852" w:rsidRDefault="00F25852" w:rsidP="00923677">
                            <w:pPr>
                              <w:rPr>
                                <w:b/>
                                <w:highlight w:val="green"/>
                                <w:lang w:eastAsia="x-none"/>
                              </w:rPr>
                            </w:pPr>
                          </w:p>
                          <w:p w14:paraId="67362327" w14:textId="20CE540D" w:rsidR="00F25852" w:rsidRPr="00A860A5" w:rsidRDefault="00F25852" w:rsidP="00923677">
                            <w:pPr>
                              <w:rPr>
                                <w:b/>
                                <w:highlight w:val="green"/>
                                <w:lang w:eastAsia="x-none"/>
                              </w:rPr>
                            </w:pPr>
                            <w:r w:rsidRPr="00FE2F60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  <w:r>
                              <w:rPr>
                                <w:b/>
                                <w:highlight w:val="green"/>
                                <w:lang w:eastAsia="x-none"/>
                              </w:rPr>
                              <w:t xml:space="preserve"> (RAN1#92)</w:t>
                            </w:r>
                            <w:r w:rsidRPr="00FE2F60">
                              <w:rPr>
                                <w:b/>
                                <w:highlight w:val="green"/>
                                <w:lang w:eastAsia="x-none"/>
                              </w:rPr>
                              <w:t>:</w:t>
                            </w:r>
                          </w:p>
                          <w:p w14:paraId="60631E9C" w14:textId="108F6D74" w:rsidR="00F25852" w:rsidRPr="006A3731" w:rsidRDefault="00F25852" w:rsidP="00923677">
                            <w:pPr>
                              <w:rPr>
                                <w:rFonts w:eastAsia="MS Mincho"/>
                              </w:rPr>
                            </w:pPr>
                            <w:r w:rsidRPr="00FE2F60">
                              <w:rPr>
                                <w:lang w:eastAsia="x-none"/>
                              </w:rPr>
                              <w:t>For the CSI-RS sequence mapping, the working assumption from RAN1 NR Ad Hoc 1801 for density 1 and 3</w:t>
                            </w:r>
                            <w:r>
                              <w:rPr>
                                <w:lang w:eastAsia="x-none"/>
                              </w:rPr>
                              <w:t xml:space="preserve"> is confirmed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B3FE4E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373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" fillcolor="white [3201]" strokeweight=".5pt">
                <v:textbox>
                  <w:txbxContent>
                    <w:p w14:paraId="1F3A8022" w14:textId="77777777" w:rsidR="00F25852" w:rsidRPr="006A3731" w:rsidRDefault="00F25852" w:rsidP="00923677">
                      <w:pPr>
                        <w:rPr>
                          <w:lang w:eastAsia="x-none"/>
                        </w:rPr>
                      </w:pPr>
                      <w:r w:rsidRPr="006A3731">
                        <w:rPr>
                          <w:highlight w:val="darkYellow"/>
                          <w:lang w:eastAsia="x-none"/>
                        </w:rPr>
                        <w:t>Working Assumption</w:t>
                      </w:r>
                    </w:p>
                    <w:p w14:paraId="22525D70" w14:textId="77777777" w:rsidR="00F25852" w:rsidRPr="006A3731" w:rsidRDefault="00F25852" w:rsidP="00923677">
                      <w:pPr>
                        <w:rPr>
                          <w:lang w:eastAsia="x-none"/>
                        </w:rPr>
                      </w:pPr>
                      <w:r w:rsidRPr="006A3731">
                        <w:rPr>
                          <w:lang w:eastAsia="x-none"/>
                        </w:rPr>
                        <w:t>Agree to the following text for TS.38.211 with the understanding that the 1 port rate=1/2 case needs to be checked. If there is an issue with the working assumption for 1 port rate=1/2, technical details will be modified.</w:t>
                      </w:r>
                    </w:p>
                    <w:p w14:paraId="4CD7574C" w14:textId="77777777" w:rsidR="00F25852" w:rsidRPr="006A3731" w:rsidRDefault="00F25852" w:rsidP="00923677">
                      <w:pPr>
                        <w:pStyle w:val="BodyText"/>
                        <w:rPr>
                          <w:rFonts w:ascii="Arial" w:hAnsi="Arial" w:cs="Arial"/>
                        </w:rPr>
                      </w:pPr>
                      <w:r w:rsidRPr="006A3731">
                        <w:rPr>
                          <w:rFonts w:ascii="Arial" w:hAnsi="Arial" w:cs="Arial"/>
                        </w:rPr>
                        <w:t>7.4.1.5.3</w:t>
                      </w:r>
                      <w:r w:rsidRPr="006A3731">
                        <w:rPr>
                          <w:rFonts w:ascii="Arial" w:hAnsi="Arial" w:cs="Arial"/>
                        </w:rPr>
                        <w:tab/>
                        <w:t>Mapping to physical resources</w:t>
                      </w:r>
                    </w:p>
                    <w:p w14:paraId="7C3CCEA1" w14:textId="77777777" w:rsidR="00F25852" w:rsidRPr="006A3731" w:rsidRDefault="00F25852" w:rsidP="00923677">
                      <w:pPr>
                        <w:rPr>
                          <w:rFonts w:eastAsia="Malgun Gothic"/>
                          <w:lang w:eastAsia="ko-KR"/>
                        </w:rPr>
                      </w:pPr>
                      <w:r w:rsidRPr="006A3731">
                        <w:t xml:space="preserve">For each CSI-RS component configured, the UE shall assume the sequence </w:t>
                      </w:r>
                      <w:r w:rsidRPr="00760E5F">
                        <w:rPr>
                          <w:color w:val="FF0000"/>
                          <w:position w:val="-10"/>
                        </w:rPr>
                        <w:object w:dxaOrig="484" w:dyaOrig="301" w14:anchorId="26D69233">
                          <v:shape id="_x0000_i1026" type="#_x0000_t75" style="width:25.2pt;height:15pt" o:ole="">
                            <v:imagedata r:id="rId8" o:title=""/>
                          </v:shape>
                          <o:OLEObject Type="Embed" ProgID="Equation.3" ShapeID="_x0000_i1026" DrawAspect="Content" ObjectID="_1584525420" r:id="rId15"/>
                        </w:object>
                      </w:r>
                      <w:r w:rsidRPr="006A3731">
                        <w:t xml:space="preserve"> being mapped to physical resources according to </w:t>
                      </w:r>
                    </w:p>
                    <w:p w14:paraId="43CFF664" w14:textId="77777777" w:rsidR="00F25852" w:rsidRPr="00927D21" w:rsidRDefault="00F25852" w:rsidP="00923677">
                      <w:pPr>
                        <w:jc w:val="center"/>
                        <w:rPr>
                          <w:rFonts w:eastAsia="Malgun Gothic"/>
                          <w:color w:val="FF0000"/>
                          <w:lang w:eastAsia="ko-K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59A31D1" wp14:editId="17761564">
                            <wp:extent cx="5915025" cy="2505075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15025" cy="2505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C2C3691" w14:textId="77777777" w:rsidR="00F25852" w:rsidRDefault="00F25852" w:rsidP="00923677">
                      <w:pPr>
                        <w:tabs>
                          <w:tab w:val="left" w:pos="2585"/>
                        </w:tabs>
                        <w:snapToGrid w:val="0"/>
                        <w:rPr>
                          <w:rFonts w:eastAsia="Malgun Gothic"/>
                          <w:color w:val="0070C0"/>
                          <w:lang w:eastAsia="ko-KR"/>
                        </w:rPr>
                      </w:pPr>
                      <w:r w:rsidRPr="006A3731">
                        <w:rPr>
                          <w:color w:val="FF0000"/>
                        </w:rPr>
                        <w:t xml:space="preserve">under the condition that the resource elements indexed by </w:t>
                      </w:r>
                      <w:r w:rsidRPr="00760E5F">
                        <w:rPr>
                          <w:color w:val="FF0000"/>
                          <w:position w:val="-8"/>
                        </w:rPr>
                        <w:object w:dxaOrig="333" w:dyaOrig="247" w14:anchorId="10B367DA">
                          <v:shape id="_x0000_i1028" type="#_x0000_t75" style="width:16.35pt;height:11.95pt" o:ole="">
                            <v:imagedata r:id="rId11" o:title=""/>
                          </v:shape>
                          <o:OLEObject Type="Embed" ProgID="Equation.3" ShapeID="_x0000_i1028" DrawAspect="Content" ObjectID="_1584525421" r:id="rId16"/>
                        </w:object>
                      </w:r>
                      <w:r w:rsidRPr="006A3731">
                        <w:rPr>
                          <w:color w:val="FF0000"/>
                        </w:rPr>
                        <w:t xml:space="preserve">are within the resource blocks occupied by the CSI-RS for which the UE is configured. The reference point for </w:t>
                      </w:r>
                      <w:r w:rsidRPr="00A50A37">
                        <w:rPr>
                          <w:color w:val="FF0000"/>
                          <w:position w:val="-6"/>
                        </w:rPr>
                        <w:object w:dxaOrig="175" w:dyaOrig="238" w14:anchorId="4DA3C7F2">
                          <v:shape id="_x0000_i1030" type="#_x0000_t75" style="width:8.85pt;height:11.95pt">
                            <v:imagedata r:id="rId13" o:title=""/>
                          </v:shape>
                          <o:OLEObject Type="Embed" ProgID="Equation.3" ShapeID="_x0000_i1030" DrawAspect="Content" ObjectID="_1584525422" r:id="rId17"/>
                        </w:object>
                      </w:r>
                      <w:r w:rsidRPr="006A3731">
                        <w:rPr>
                          <w:color w:val="FF0000"/>
                        </w:rPr>
                        <w:t xml:space="preserve"> is subcarrier 0 in common resource block 0.</w:t>
                      </w:r>
                      <w:r w:rsidRPr="006A3731">
                        <w:rPr>
                          <w:rFonts w:eastAsia="Malgun Gothic" w:hint="eastAsia"/>
                          <w:color w:val="FF0000"/>
                          <w:lang w:eastAsia="ko-KR"/>
                        </w:rPr>
                        <w:t xml:space="preserve"> </w:t>
                      </w:r>
                      <w:r w:rsidRPr="006A3731">
                        <w:rPr>
                          <w:rFonts w:eastAsia="Malgun Gothic"/>
                          <w:color w:val="0070C0"/>
                          <w:lang w:eastAsia="ko-KR"/>
                        </w:rPr>
                        <w:t xml:space="preserve">The value of </w:t>
                      </w:r>
                      <m:oMath>
                        <m:r>
                          <w:rPr>
                            <w:rFonts w:ascii="Cambria Math" w:eastAsia="Malgun Gothic" w:hAnsi="Cambria Math"/>
                            <w:color w:val="0070C0"/>
                            <w:lang w:eastAsia="ko-KR"/>
                          </w:rPr>
                          <m:t>ρ</m:t>
                        </m:r>
                      </m:oMath>
                      <w:r w:rsidRPr="006A3731">
                        <w:rPr>
                          <w:rFonts w:eastAsia="Malgun Gothic"/>
                          <w:color w:val="0070C0"/>
                          <w:lang w:eastAsia="ko-KR"/>
                        </w:rPr>
                        <w:t xml:space="preserve"> is given by the higher-layer parameter </w:t>
                      </w:r>
                      <w:r w:rsidRPr="006A3731">
                        <w:rPr>
                          <w:rFonts w:eastAsia="SimSun"/>
                          <w:i/>
                          <w:color w:val="0070C0"/>
                        </w:rPr>
                        <w:t>CSI-RS-Density</w:t>
                      </w:r>
                      <w:r w:rsidRPr="006A3731">
                        <w:rPr>
                          <w:rFonts w:eastAsia="Malgun Gothic"/>
                          <w:color w:val="0070C0"/>
                          <w:lang w:eastAsia="ko-KR"/>
                        </w:rPr>
                        <w:t>.</w:t>
                      </w:r>
                    </w:p>
                    <w:p w14:paraId="267B3C42" w14:textId="77777777" w:rsidR="00F25852" w:rsidRDefault="00F25852" w:rsidP="00923677">
                      <w:pPr>
                        <w:rPr>
                          <w:b/>
                          <w:highlight w:val="green"/>
                          <w:lang w:eastAsia="x-none"/>
                        </w:rPr>
                      </w:pPr>
                    </w:p>
                    <w:p w14:paraId="67362327" w14:textId="20CE540D" w:rsidR="00F25852" w:rsidRPr="00A860A5" w:rsidRDefault="00F25852" w:rsidP="00923677">
                      <w:pPr>
                        <w:rPr>
                          <w:b/>
                          <w:highlight w:val="green"/>
                          <w:lang w:eastAsia="x-none"/>
                        </w:rPr>
                      </w:pPr>
                      <w:r w:rsidRPr="00FE2F60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  <w:r>
                        <w:rPr>
                          <w:b/>
                          <w:highlight w:val="green"/>
                          <w:lang w:eastAsia="x-none"/>
                        </w:rPr>
                        <w:t xml:space="preserve"> (RAN1#92)</w:t>
                      </w:r>
                      <w:r w:rsidRPr="00FE2F60">
                        <w:rPr>
                          <w:b/>
                          <w:highlight w:val="green"/>
                          <w:lang w:eastAsia="x-none"/>
                        </w:rPr>
                        <w:t>:</w:t>
                      </w:r>
                    </w:p>
                    <w:p w14:paraId="60631E9C" w14:textId="108F6D74" w:rsidR="00F25852" w:rsidRPr="006A3731" w:rsidRDefault="00F25852" w:rsidP="00923677">
                      <w:pPr>
                        <w:rPr>
                          <w:rFonts w:eastAsia="MS Mincho"/>
                        </w:rPr>
                      </w:pPr>
                      <w:r w:rsidRPr="00FE2F60">
                        <w:rPr>
                          <w:lang w:eastAsia="x-none"/>
                        </w:rPr>
                        <w:t>For the CSI-RS sequence mapping, the working assumption from RAN1 NR Ad Hoc 1801 for density 1 and 3</w:t>
                      </w:r>
                      <w:r>
                        <w:rPr>
                          <w:lang w:eastAsia="x-none"/>
                        </w:rPr>
                        <w:t xml:space="preserve"> is confirmed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D94F03" w14:textId="20E5A67C" w:rsidR="00477768" w:rsidRPr="0078137E" w:rsidRDefault="00D51369" w:rsidP="00BF7642">
      <w:pPr>
        <w:pStyle w:val="BodyText"/>
      </w:pPr>
      <w:r w:rsidRPr="0078137E">
        <w:t>In this contribution, we revisit</w:t>
      </w:r>
      <w:r w:rsidR="00F43C07" w:rsidRPr="0078137E">
        <w:t xml:space="preserve"> the </w:t>
      </w:r>
      <w:r w:rsidR="002C2184" w:rsidRPr="0078137E">
        <w:t>working assumption</w:t>
      </w:r>
      <w:r w:rsidR="00F43C07" w:rsidRPr="0078137E">
        <w:t>, focusing on</w:t>
      </w:r>
      <w:r w:rsidRPr="0078137E">
        <w:t xml:space="preserve"> density ½</w:t>
      </w:r>
      <w:r w:rsidR="0090428F" w:rsidRPr="0078137E">
        <w:t>, and address CSI-RS resource sharing across densities.</w:t>
      </w:r>
      <w:r w:rsidR="002C2184" w:rsidRPr="0078137E">
        <w:t xml:space="preserve"> We also address additional periodicities for CSI-RS and CSI-IM.</w:t>
      </w:r>
    </w:p>
    <w:p w14:paraId="3CB8F8BC" w14:textId="6A297FA4" w:rsidR="004000E8" w:rsidRDefault="004000E8" w:rsidP="00CE0424">
      <w:pPr>
        <w:pStyle w:val="Heading1"/>
      </w:pPr>
      <w:bookmarkStart w:id="3" w:name="_Ref178064866"/>
      <w:bookmarkStart w:id="4" w:name="_Toc510772723"/>
      <w:bookmarkStart w:id="5" w:name="_Toc510772813"/>
      <w:r w:rsidRPr="00CE0424">
        <w:t>Discussion</w:t>
      </w:r>
      <w:bookmarkEnd w:id="3"/>
      <w:bookmarkEnd w:id="4"/>
      <w:bookmarkEnd w:id="5"/>
    </w:p>
    <w:p w14:paraId="5512B6A1" w14:textId="5975FDDC" w:rsidR="00D51369" w:rsidRDefault="008E0639" w:rsidP="00D51369">
      <w:pPr>
        <w:pStyle w:val="Heading2"/>
      </w:pPr>
      <w:bookmarkStart w:id="6" w:name="_Toc510772724"/>
      <w:bookmarkStart w:id="7" w:name="_Toc510772814"/>
      <w:r>
        <w:t>On the working assumption on sequence mapping</w:t>
      </w:r>
      <w:bookmarkEnd w:id="6"/>
      <w:bookmarkEnd w:id="7"/>
    </w:p>
    <w:p w14:paraId="36666CE4" w14:textId="7E9A4DD3" w:rsidR="0014677B" w:rsidRDefault="0014677B" w:rsidP="0014677B">
      <w:pPr>
        <w:pStyle w:val="BodyText"/>
      </w:pPr>
      <w:r>
        <w:t xml:space="preserve">To enable sharing of physical resources among users with </w:t>
      </w:r>
      <w:r w:rsidR="00B63231">
        <w:t xml:space="preserve">(partially) </w:t>
      </w:r>
      <w:r>
        <w:t xml:space="preserve">overlapping </w:t>
      </w:r>
      <w:r w:rsidR="00BB76F2">
        <w:t xml:space="preserve">CSI-RS </w:t>
      </w:r>
      <w:r>
        <w:t xml:space="preserve">bandwidths, a resource specific </w:t>
      </w:r>
      <w:r w:rsidR="00B63231">
        <w:t>design is highly desirable in order to avoid wastage of physical resources</w:t>
      </w:r>
      <w:r>
        <w:t xml:space="preserve">. </w:t>
      </w:r>
      <w:r w:rsidR="00B63231">
        <w:t xml:space="preserve">According to the WA cited above, the resource-specific aspect holds for resources configured with the </w:t>
      </w:r>
      <w:r w:rsidR="00B63231" w:rsidRPr="008C1E6A">
        <w:rPr>
          <w:i/>
        </w:rPr>
        <w:t>same</w:t>
      </w:r>
      <w:r w:rsidR="00B63231">
        <w:t xml:space="preserve"> density. </w:t>
      </w:r>
      <w:r w:rsidR="00B63231">
        <w:lastRenderedPageBreak/>
        <w:t xml:space="preserve">However, the sequence mapping is NOT resource specific across </w:t>
      </w:r>
      <w:r w:rsidR="00B63231" w:rsidRPr="008C1E6A">
        <w:rPr>
          <w:i/>
        </w:rPr>
        <w:t>different</w:t>
      </w:r>
      <w:r w:rsidR="00B63231">
        <w:t xml:space="preserve"> densities. Since the working assumption has been confirmed for densities </w:t>
      </w:r>
      <m:oMath>
        <m:r>
          <w:rPr>
            <w:rFonts w:ascii="Cambria Math" w:hAnsi="Cambria Math"/>
          </w:rPr>
          <m:t>ρ=1</m:t>
        </m:r>
      </m:oMath>
      <w:r w:rsidR="00B63231">
        <w:t xml:space="preserve"> and </w:t>
      </w:r>
      <m:oMath>
        <m:r>
          <w:rPr>
            <w:rFonts w:ascii="Cambria Math" w:hAnsi="Cambria Math"/>
          </w:rPr>
          <m:t>ρ=3</m:t>
        </m:r>
      </m:oMath>
      <w:r w:rsidR="00B63231">
        <w:t xml:space="preserve">, the opportunity to achieve resource sharing across these densities is lost. However, there is still an opportunity to fix the design to allow resource sharing across densities </w:t>
      </w:r>
      <m:oMath>
        <m:r>
          <w:rPr>
            <w:rFonts w:ascii="Cambria Math" w:hAnsi="Cambria Math"/>
          </w:rPr>
          <m:t>ρ=0.5</m:t>
        </m:r>
      </m:oMath>
      <w:r w:rsidR="00B63231">
        <w:t xml:space="preserve"> and </w:t>
      </w:r>
      <m:oMath>
        <m:r>
          <w:rPr>
            <w:rFonts w:ascii="Cambria Math" w:hAnsi="Cambria Math"/>
          </w:rPr>
          <m:t>ρ=1</m:t>
        </m:r>
      </m:oMath>
      <w:r w:rsidR="00B63231">
        <w:t xml:space="preserve"> by altering the working assumption only for density </w:t>
      </w:r>
      <m:oMath>
        <m:r>
          <w:rPr>
            <w:rFonts w:ascii="Cambria Math" w:hAnsi="Cambria Math"/>
          </w:rPr>
          <m:t>ρ=0.5</m:t>
        </m:r>
      </m:oMath>
      <w:r w:rsidR="00B63231">
        <w:t>. It can be argued that resources with this mix of densities is more likely anyway.</w:t>
      </w:r>
    </w:p>
    <w:p w14:paraId="126C4577" w14:textId="14282255" w:rsidR="0014677B" w:rsidRDefault="00B63231" w:rsidP="0014677B">
      <w:pPr>
        <w:pStyle w:val="BodyText"/>
      </w:pPr>
      <w:r>
        <w:t>For example, c</w:t>
      </w:r>
      <w:r w:rsidR="0014677B" w:rsidRPr="00AD2DAD">
        <w:t xml:space="preserve">onsider a scenario where </w:t>
      </w:r>
      <w:r w:rsidR="0014677B">
        <w:t>UE</w:t>
      </w:r>
      <w:r w:rsidR="0014677B" w:rsidRPr="00AD2DAD">
        <w:t xml:space="preserve">1 has smaller </w:t>
      </w:r>
      <w:r w:rsidR="0014677B">
        <w:t>bandwidth part bandwidth compared to</w:t>
      </w:r>
      <w:r w:rsidR="0014677B" w:rsidRPr="00AD2DAD">
        <w:t xml:space="preserve"> </w:t>
      </w:r>
      <w:r w:rsidR="0014677B">
        <w:t>UE</w:t>
      </w:r>
      <w:r w:rsidR="0014677B" w:rsidRPr="00AD2DAD">
        <w:t xml:space="preserve">2. </w:t>
      </w:r>
      <w:r w:rsidR="0014677B">
        <w:t>It is often reasonable to</w:t>
      </w:r>
      <w:r w:rsidR="0014677B" w:rsidRPr="00AD2DAD">
        <w:t xml:space="preserve"> have the CSI-RS cover the entire bandwidth part. To have enough energy on CSI-RS for </w:t>
      </w:r>
      <w:r w:rsidR="0014677B">
        <w:t>UE</w:t>
      </w:r>
      <w:r w:rsidR="0014677B" w:rsidRPr="00AD2DAD">
        <w:t>1</w:t>
      </w:r>
      <w:r w:rsidR="00BB76F2">
        <w:t>,</w:t>
      </w:r>
      <w:r w:rsidR="0014677B" w:rsidRPr="00AD2DAD">
        <w:t xml:space="preserve"> it may </w:t>
      </w:r>
      <w:r w:rsidR="008D54DE">
        <w:t xml:space="preserve">be </w:t>
      </w:r>
      <w:r w:rsidR="00BB76F2">
        <w:t>necessary</w:t>
      </w:r>
      <w:r w:rsidR="00BB76F2" w:rsidRPr="00AD2DAD">
        <w:t xml:space="preserve"> </w:t>
      </w:r>
      <w:r w:rsidR="0014677B" w:rsidRPr="00AD2DAD">
        <w:t>to</w:t>
      </w:r>
      <w:r w:rsidR="00BB76F2">
        <w:t xml:space="preserve"> configure UE1</w:t>
      </w:r>
      <w:r w:rsidR="0014677B" w:rsidRPr="00AD2DAD">
        <w:t xml:space="preserve"> with density </w:t>
      </w:r>
      <m:oMath>
        <m:r>
          <w:rPr>
            <w:rFonts w:ascii="Cambria Math" w:hAnsi="Cambria Math"/>
          </w:rPr>
          <m:t>ρ=1</m:t>
        </m:r>
      </m:oMath>
      <w:r w:rsidR="0014677B" w:rsidRPr="00AD2DAD">
        <w:t xml:space="preserve">. For </w:t>
      </w:r>
      <w:r w:rsidR="0014677B">
        <w:t>UE</w:t>
      </w:r>
      <w:r w:rsidR="0014677B" w:rsidRPr="00AD2DAD">
        <w:t xml:space="preserve">2 it may be sufficient to have </w:t>
      </w:r>
      <m:oMath>
        <m:r>
          <w:rPr>
            <w:rFonts w:ascii="Cambria Math" w:hAnsi="Cambria Math"/>
          </w:rPr>
          <m:t>ρ=0.5</m:t>
        </m:r>
      </m:oMath>
      <w:r w:rsidR="0014677B">
        <w:t xml:space="preserve"> </w:t>
      </w:r>
      <w:r w:rsidR="0014677B" w:rsidRPr="00AD2DAD">
        <w:t xml:space="preserve"> (as the bandwidth is larger). This</w:t>
      </w:r>
      <w:r w:rsidR="0014677B">
        <w:t xml:space="preserve"> scenario is illustrated in </w:t>
      </w:r>
      <w:r w:rsidR="0014677B">
        <w:fldChar w:fldCharType="begin"/>
      </w:r>
      <w:r w:rsidR="0014677B">
        <w:instrText xml:space="preserve"> REF _Ref505674193 \h </w:instrText>
      </w:r>
      <w:r w:rsidR="0014677B">
        <w:fldChar w:fldCharType="separate"/>
      </w:r>
      <w:r w:rsidR="00980C23" w:rsidRPr="0078137E">
        <w:t xml:space="preserve">Figure </w:t>
      </w:r>
      <w:r w:rsidR="00980C23">
        <w:rPr>
          <w:noProof/>
        </w:rPr>
        <w:t>1</w:t>
      </w:r>
      <w:r w:rsidR="0014677B">
        <w:fldChar w:fldCharType="end"/>
      </w:r>
      <w:r w:rsidR="0014677B">
        <w:t xml:space="preserve"> below</w:t>
      </w:r>
      <w:bookmarkStart w:id="8" w:name="_GoBack"/>
      <w:bookmarkEnd w:id="8"/>
      <w:r w:rsidR="0014677B">
        <w:t>:</w:t>
      </w:r>
    </w:p>
    <w:p w14:paraId="48462C97" w14:textId="77777777" w:rsidR="00852A79" w:rsidRDefault="00852A79" w:rsidP="00852A79">
      <w:pPr>
        <w:pStyle w:val="BodyText"/>
        <w:keepNext/>
      </w:pPr>
      <w:r w:rsidRPr="00852A79">
        <w:rPr>
          <w:noProof/>
        </w:rPr>
        <w:drawing>
          <wp:inline distT="0" distB="0" distL="0" distR="0" wp14:anchorId="2A700BDB" wp14:editId="798C262B">
            <wp:extent cx="5943600" cy="508983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8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555A1" w14:textId="11E6D55E" w:rsidR="00617932" w:rsidRDefault="00852A79" w:rsidP="00852A79">
      <w:pPr>
        <w:pStyle w:val="Caption"/>
      </w:pPr>
      <w:bookmarkStart w:id="9" w:name="_Ref505674193"/>
      <w:r w:rsidRPr="0078137E">
        <w:t xml:space="preserve">Figure </w:t>
      </w:r>
      <w:r>
        <w:fldChar w:fldCharType="begin"/>
      </w:r>
      <w:r w:rsidRPr="0078137E">
        <w:instrText xml:space="preserve"> SEQ Figure \* ARABIC </w:instrText>
      </w:r>
      <w:r>
        <w:fldChar w:fldCharType="separate"/>
      </w:r>
      <w:r w:rsidR="00980C23">
        <w:rPr>
          <w:noProof/>
        </w:rPr>
        <w:t>1</w:t>
      </w:r>
      <w:r>
        <w:fldChar w:fldCharType="end"/>
      </w:r>
      <w:bookmarkEnd w:id="9"/>
      <w:r w:rsidRPr="0078137E">
        <w:tab/>
        <w:t xml:space="preserve">Example of CSI-RS (RB) allocations of two users with different </w:t>
      </w:r>
      <w:r w:rsidR="005233B7" w:rsidRPr="0078137E">
        <w:t xml:space="preserve">CSI-RS </w:t>
      </w:r>
      <w:r w:rsidR="00FB6138" w:rsidRPr="0078137E">
        <w:t>bandwidth and density.</w:t>
      </w:r>
    </w:p>
    <w:p w14:paraId="4FA77C38" w14:textId="68231495" w:rsidR="00D51369" w:rsidRDefault="00980C23" w:rsidP="00B26190">
      <w:pPr>
        <w:pStyle w:val="BodyText"/>
      </w:pPr>
      <w:r>
        <w:t>For</w:t>
      </w:r>
      <w:r w:rsidR="00852A79">
        <w:t xml:space="preserve"> the transmitter side</w:t>
      </w:r>
      <w:r w:rsidR="00A72E3B">
        <w:t>,</w:t>
      </w:r>
      <w:r w:rsidR="00852A79">
        <w:t xml:space="preserve"> the same example may be schematically illustrated as in </w:t>
      </w:r>
      <w:r w:rsidR="00852A79">
        <w:fldChar w:fldCharType="begin"/>
      </w:r>
      <w:r w:rsidR="00852A79">
        <w:instrText xml:space="preserve"> REF _Ref505674481 \h </w:instrText>
      </w:r>
      <w:r w:rsidR="00B8254B">
        <w:instrText xml:space="preserve"> \* MERGEFORMAT </w:instrText>
      </w:r>
      <w:r w:rsidR="00852A79">
        <w:fldChar w:fldCharType="separate"/>
      </w:r>
      <w:r w:rsidRPr="0078137E">
        <w:t xml:space="preserve">Figure </w:t>
      </w:r>
      <w:r>
        <w:rPr>
          <w:noProof/>
        </w:rPr>
        <w:t>2</w:t>
      </w:r>
      <w:r w:rsidR="00852A79">
        <w:fldChar w:fldCharType="end"/>
      </w:r>
      <w:r w:rsidR="00852A79">
        <w:t xml:space="preserve"> below:</w:t>
      </w:r>
    </w:p>
    <w:p w14:paraId="55BD8008" w14:textId="77777777" w:rsidR="00852A79" w:rsidRDefault="00852A79" w:rsidP="00852A79">
      <w:pPr>
        <w:keepNext/>
      </w:pPr>
      <w:r w:rsidRPr="00852A79">
        <w:rPr>
          <w:noProof/>
        </w:rPr>
        <w:drawing>
          <wp:inline distT="0" distB="0" distL="0" distR="0" wp14:anchorId="6E905D0E" wp14:editId="206633C4">
            <wp:extent cx="5943600" cy="104991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49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79113" w14:textId="41C60680" w:rsidR="00852A79" w:rsidRPr="0078137E" w:rsidRDefault="00852A79" w:rsidP="00852A79">
      <w:pPr>
        <w:pStyle w:val="Caption"/>
      </w:pPr>
      <w:bookmarkStart w:id="10" w:name="_Ref505674481"/>
      <w:r w:rsidRPr="0078137E">
        <w:t xml:space="preserve">Figure </w:t>
      </w:r>
      <w:r>
        <w:fldChar w:fldCharType="begin"/>
      </w:r>
      <w:r w:rsidRPr="0078137E">
        <w:instrText xml:space="preserve"> SEQ Figure \* ARABIC </w:instrText>
      </w:r>
      <w:r>
        <w:fldChar w:fldCharType="separate"/>
      </w:r>
      <w:r w:rsidR="00980C23">
        <w:rPr>
          <w:noProof/>
        </w:rPr>
        <w:t>2</w:t>
      </w:r>
      <w:r>
        <w:fldChar w:fldCharType="end"/>
      </w:r>
      <w:bookmarkEnd w:id="10"/>
      <w:r w:rsidRPr="0078137E">
        <w:tab/>
        <w:t>Example on how CSI-RS resources are mapped to the resource grid</w:t>
      </w:r>
      <w:r w:rsidR="006507F5" w:rsidRPr="0078137E">
        <w:t xml:space="preserve"> from the network perspective</w:t>
      </w:r>
      <w:r w:rsidRPr="0078137E">
        <w:t>.</w:t>
      </w:r>
    </w:p>
    <w:p w14:paraId="4144E8E5" w14:textId="0E1D399D" w:rsidR="00B63231" w:rsidRDefault="00BB76F2" w:rsidP="00B26190">
      <w:pPr>
        <w:pStyle w:val="BodyText"/>
      </w:pPr>
      <w:r w:rsidRPr="0078137E">
        <w:t>For discussion purposes, a</w:t>
      </w:r>
      <w:r w:rsidR="006F19AE" w:rsidRPr="0078137E">
        <w:t>ssume that</w:t>
      </w:r>
      <w:r w:rsidR="00852A79" w:rsidRPr="0078137E">
        <w:t xml:space="preserve"> the CSI-RS resources configured for UE1 and UE2 have same number of ports X.</w:t>
      </w:r>
      <w:r w:rsidR="001D3AA2" w:rsidRPr="0078137E">
        <w:t xml:space="preserve"> </w:t>
      </w:r>
      <w:r w:rsidRPr="0078137E">
        <w:t>T</w:t>
      </w:r>
      <w:r w:rsidR="001D3AA2" w:rsidRPr="0078137E">
        <w:t xml:space="preserve">he number of resource elements reserved for CSI-RS is </w:t>
      </w:r>
      <w:r w:rsidRPr="0078137E">
        <w:t xml:space="preserve">thus </w:t>
      </w:r>
      <w:r w:rsidR="001D3AA2" w:rsidRPr="0078137E">
        <w:t xml:space="preserve">X, both in the RBs with CSI-RS allocated </w:t>
      </w:r>
      <w:r w:rsidR="00B63231" w:rsidRPr="0078137E">
        <w:t xml:space="preserve">only for UE1 </w:t>
      </w:r>
      <w:r w:rsidR="001D3AA2" w:rsidRPr="0078137E">
        <w:t>(yellow</w:t>
      </w:r>
      <w:r w:rsidR="006F12FD" w:rsidRPr="0078137E">
        <w:t xml:space="preserve"> in</w:t>
      </w:r>
      <w:r w:rsidR="001D3AA2" w:rsidRPr="0078137E">
        <w:t xml:space="preserve"> </w:t>
      </w:r>
      <w:r w:rsidR="001D3AA2">
        <w:fldChar w:fldCharType="begin"/>
      </w:r>
      <w:r w:rsidR="001D3AA2">
        <w:instrText xml:space="preserve"> REF _Ref505674481 \h </w:instrText>
      </w:r>
      <w:r w:rsidR="00B8254B">
        <w:instrText xml:space="preserve"> \* MERGEFORMAT </w:instrText>
      </w:r>
      <w:r w:rsidR="001D3AA2">
        <w:fldChar w:fldCharType="separate"/>
      </w:r>
      <w:r w:rsidR="00980C23" w:rsidRPr="0078137E">
        <w:t xml:space="preserve">Figure </w:t>
      </w:r>
      <w:r w:rsidR="00980C23">
        <w:rPr>
          <w:noProof/>
        </w:rPr>
        <w:t>2</w:t>
      </w:r>
      <w:r w:rsidR="001D3AA2">
        <w:fldChar w:fldCharType="end"/>
      </w:r>
      <w:r w:rsidR="001D3AA2">
        <w:t xml:space="preserve">) </w:t>
      </w:r>
      <w:r w:rsidR="00B63231" w:rsidRPr="0078137E">
        <w:t xml:space="preserve">and in the RBs with </w:t>
      </w:r>
      <w:r w:rsidR="001D3AA2" w:rsidRPr="0078137E">
        <w:t>CSI-RS allocated</w:t>
      </w:r>
      <w:r w:rsidR="00B63231" w:rsidRPr="0078137E">
        <w:t xml:space="preserve"> only for UE2 </w:t>
      </w:r>
      <w:r w:rsidR="001D3AA2" w:rsidRPr="0078137E">
        <w:t xml:space="preserve">(green in </w:t>
      </w:r>
      <w:r w:rsidR="001D3AA2">
        <w:fldChar w:fldCharType="begin"/>
      </w:r>
      <w:r w:rsidR="001D3AA2">
        <w:instrText xml:space="preserve"> REF _Ref505674481 \h </w:instrText>
      </w:r>
      <w:r w:rsidR="00B8254B">
        <w:instrText xml:space="preserve"> \* MERGEFORMAT </w:instrText>
      </w:r>
      <w:r w:rsidR="001D3AA2">
        <w:fldChar w:fldCharType="separate"/>
      </w:r>
      <w:r w:rsidR="00980C23" w:rsidRPr="0078137E">
        <w:t xml:space="preserve">Figure </w:t>
      </w:r>
      <w:r w:rsidR="00980C23">
        <w:rPr>
          <w:noProof/>
        </w:rPr>
        <w:t>2</w:t>
      </w:r>
      <w:r w:rsidR="001D3AA2">
        <w:fldChar w:fldCharType="end"/>
      </w:r>
      <w:r w:rsidR="001D3AA2">
        <w:t>)</w:t>
      </w:r>
      <w:r w:rsidR="001D3AA2" w:rsidRPr="0078137E">
        <w:t>. However, the number of resource elements reserved for CSI-RS in the RBs with</w:t>
      </w:r>
      <w:r w:rsidR="00B63231" w:rsidRPr="0078137E">
        <w:t xml:space="preserve"> CSI-RS allocated for</w:t>
      </w:r>
      <w:r w:rsidR="001D3AA2" w:rsidRPr="0078137E">
        <w:t xml:space="preserve"> </w:t>
      </w:r>
      <w:r w:rsidR="001D3AA2" w:rsidRPr="0078137E">
        <w:rPr>
          <w:i/>
        </w:rPr>
        <w:t xml:space="preserve">both </w:t>
      </w:r>
      <w:r w:rsidR="001D3AA2" w:rsidRPr="0078137E">
        <w:t xml:space="preserve">UE1 and UE2 (red in </w:t>
      </w:r>
      <w:r w:rsidR="001D3AA2">
        <w:fldChar w:fldCharType="begin"/>
      </w:r>
      <w:r w:rsidR="001D3AA2">
        <w:instrText xml:space="preserve"> REF _Ref505674481 \h </w:instrText>
      </w:r>
      <w:r w:rsidR="00B8254B">
        <w:instrText xml:space="preserve"> \* MERGEFORMAT </w:instrText>
      </w:r>
      <w:r w:rsidR="001D3AA2">
        <w:fldChar w:fldCharType="separate"/>
      </w:r>
      <w:r w:rsidR="00980C23" w:rsidRPr="0078137E">
        <w:t xml:space="preserve">Figure </w:t>
      </w:r>
      <w:r w:rsidR="00980C23">
        <w:rPr>
          <w:noProof/>
        </w:rPr>
        <w:t>2</w:t>
      </w:r>
      <w:r w:rsidR="001D3AA2">
        <w:fldChar w:fldCharType="end"/>
      </w:r>
      <w:r w:rsidR="008D2EDD">
        <w:t xml:space="preserve">) </w:t>
      </w:r>
      <w:r w:rsidR="00B63231">
        <w:t>is</w:t>
      </w:r>
      <w:r w:rsidR="008D2EDD">
        <w:t xml:space="preserve"> 2X</w:t>
      </w:r>
      <w:r w:rsidR="00B63231">
        <w:t>.</w:t>
      </w:r>
      <w:r w:rsidR="008D2EDD">
        <w:t xml:space="preserve"> </w:t>
      </w:r>
      <w:r w:rsidR="00B63231">
        <w:t>T</w:t>
      </w:r>
      <w:r w:rsidR="008D2EDD">
        <w:t>his is because orthogonal resources need to be configured for UE1 and UE2</w:t>
      </w:r>
      <w:r w:rsidR="00D22F07">
        <w:t xml:space="preserve"> since the sequence values </w:t>
      </w:r>
      <w:r w:rsidR="00B63231">
        <w:t xml:space="preserve">for the two UEs </w:t>
      </w:r>
      <w:r w:rsidR="00D22F07">
        <w:t>in the red RBs are different</w:t>
      </w:r>
      <w:r>
        <w:t xml:space="preserve"> according to the formulas in the working assumption</w:t>
      </w:r>
      <w:r w:rsidR="008D2EDD">
        <w:t>.</w:t>
      </w:r>
    </w:p>
    <w:p w14:paraId="5DCFB29E" w14:textId="3D3F9ED3" w:rsidR="00B906F7" w:rsidRDefault="001D3AA2" w:rsidP="00B26190">
      <w:pPr>
        <w:pStyle w:val="BodyText"/>
      </w:pPr>
      <w:r>
        <w:t xml:space="preserve">If the sequence mapping would </w:t>
      </w:r>
      <w:r w:rsidR="00CB1719">
        <w:t xml:space="preserve">instead </w:t>
      </w:r>
      <w:r>
        <w:t xml:space="preserve">be defined </w:t>
      </w:r>
      <w:r w:rsidR="00CB1719">
        <w:t>as</w:t>
      </w:r>
      <w:r>
        <w:t xml:space="preserve"> resource specific across den</w:t>
      </w:r>
      <w:r w:rsidR="00B63231">
        <w:t>sit</w:t>
      </w:r>
      <w:r w:rsidR="00CB1719">
        <w:t xml:space="preserve">ies </w:t>
      </w:r>
      <m:oMath>
        <m:r>
          <w:rPr>
            <w:rFonts w:ascii="Cambria Math" w:hAnsi="Cambria Math"/>
          </w:rPr>
          <m:t>ρ=0.5</m:t>
        </m:r>
      </m:oMath>
      <w:r w:rsidR="00CB1719">
        <w:t xml:space="preserve"> and </w:t>
      </w:r>
      <m:oMath>
        <m:r>
          <w:rPr>
            <w:rFonts w:ascii="Cambria Math" w:hAnsi="Cambria Math"/>
          </w:rPr>
          <m:t>ρ=1</m:t>
        </m:r>
      </m:oMath>
      <w:r w:rsidR="006F19AE">
        <w:t>,</w:t>
      </w:r>
      <w:r>
        <w:t xml:space="preserve"> </w:t>
      </w:r>
      <w:r w:rsidR="006F12FD">
        <w:t xml:space="preserve">the </w:t>
      </w:r>
      <w:r w:rsidR="00CB1719">
        <w:t xml:space="preserve">physical resources used for </w:t>
      </w:r>
      <w:r w:rsidR="006F12FD">
        <w:t xml:space="preserve">CSI-RS could be shared in </w:t>
      </w:r>
      <w:r w:rsidR="00CB1719">
        <w:t xml:space="preserve">the red </w:t>
      </w:r>
      <w:r w:rsidR="006F12FD">
        <w:t>RBs</w:t>
      </w:r>
      <w:r w:rsidR="00CB1719">
        <w:t>. This would mean that</w:t>
      </w:r>
      <w:r w:rsidR="006F12FD">
        <w:t xml:space="preserve"> the number of resource elements reserved for CSI-RS would be X </w:t>
      </w:r>
      <w:r w:rsidR="00CB1719">
        <w:t xml:space="preserve">in all RBs, regardless of whether one UE or two is configured with CSI-RS in those RBs. </w:t>
      </w:r>
      <w:r w:rsidR="00D22F07">
        <w:t xml:space="preserve">Clearly, a non-resource specific design </w:t>
      </w:r>
      <w:r w:rsidR="00CB1719">
        <w:t>leads to time/frequency resource wastage that should be avoided</w:t>
      </w:r>
      <w:r w:rsidR="00863FC8">
        <w:t xml:space="preserve">. The motivation becomes even stronger as the number of ports X becomes larger. </w:t>
      </w:r>
      <w:r w:rsidR="00CB1719">
        <w:t>We note that the design for LTE avoids this problem, and it should be a goal for NR to do the same</w:t>
      </w:r>
      <w:r w:rsidR="00D22F07">
        <w:t xml:space="preserve">. </w:t>
      </w:r>
      <w:r w:rsidR="006F12FD">
        <w:t xml:space="preserve">To that end we </w:t>
      </w:r>
      <w:r w:rsidR="00DB2A58">
        <w:t xml:space="preserve">observe </w:t>
      </w:r>
    </w:p>
    <w:p w14:paraId="252A59CF" w14:textId="059DD68D" w:rsidR="001A7776" w:rsidRPr="000F79E5" w:rsidRDefault="00CB1719" w:rsidP="00DB2A58">
      <w:pPr>
        <w:pStyle w:val="Observation"/>
      </w:pPr>
      <w:bookmarkStart w:id="11" w:name="_Toc506560739"/>
      <w:bookmarkStart w:id="12" w:name="_Toc509931085"/>
      <w:bookmarkStart w:id="13" w:name="_Toc510772725"/>
      <w:r>
        <w:t>The current working assumption on</w:t>
      </w:r>
      <w:r w:rsidR="00DB2A58">
        <w:t xml:space="preserve"> sequence mapping does not support sharing of </w:t>
      </w:r>
      <w:r w:rsidR="00D85181">
        <w:t xml:space="preserve">physical resources for </w:t>
      </w:r>
      <w:r w:rsidR="00DB2A58">
        <w:t xml:space="preserve">CSI-RS </w:t>
      </w:r>
      <w:r w:rsidR="00D85181">
        <w:t xml:space="preserve">configurations with different densities </w:t>
      </w:r>
      <m:oMath>
        <m:r>
          <m:rPr>
            <m:sty m:val="bi"/>
          </m:rPr>
          <w:rPr>
            <w:rFonts w:ascii="Cambria Math" w:hAnsi="Cambria Math"/>
          </w:rPr>
          <m:t>ρ=0.5</m:t>
        </m:r>
      </m:oMath>
      <w:r w:rsidR="00DB2A58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ρ=1</m:t>
        </m:r>
      </m:oMath>
      <w:r w:rsidR="00863FC8">
        <w:t>, leading to wastage of time/frequency resources.</w:t>
      </w:r>
      <w:bookmarkEnd w:id="11"/>
      <w:bookmarkEnd w:id="12"/>
      <w:bookmarkEnd w:id="13"/>
    </w:p>
    <w:p w14:paraId="260F14FA" w14:textId="0A226147" w:rsidR="00B8254B" w:rsidRPr="0078137E" w:rsidRDefault="0084020E" w:rsidP="00B26190">
      <w:pPr>
        <w:pStyle w:val="BodyText"/>
      </w:pPr>
      <w:r>
        <w:t xml:space="preserve">To </w:t>
      </w:r>
      <w:r w:rsidR="00CB1719">
        <w:t xml:space="preserve">allow resource sharing across densities </w:t>
      </w:r>
      <m:oMath>
        <m:r>
          <w:rPr>
            <w:rFonts w:ascii="Cambria Math" w:hAnsi="Cambria Math"/>
          </w:rPr>
          <m:t>ρ=0.5</m:t>
        </m:r>
      </m:oMath>
      <w:r w:rsidR="00CB1719">
        <w:t xml:space="preserve"> and </w:t>
      </w:r>
      <m:oMath>
        <m:r>
          <w:rPr>
            <w:rFonts w:ascii="Cambria Math" w:hAnsi="Cambria Math"/>
          </w:rPr>
          <m:t>ρ=1</m:t>
        </m:r>
      </m:oMath>
      <w:r w:rsidR="00CB1719">
        <w:t xml:space="preserve"> and thus </w:t>
      </w:r>
      <w:r>
        <w:t xml:space="preserve">avoid </w:t>
      </w:r>
      <w:r w:rsidR="00CB1719">
        <w:t>the resource wastage problem</w:t>
      </w:r>
      <w:r>
        <w:t xml:space="preserve">, </w:t>
      </w:r>
      <w:r w:rsidR="00CB1719">
        <w:t xml:space="preserve">we propose </w:t>
      </w:r>
      <w:r w:rsidR="00D85181">
        <w:t>the following</w:t>
      </w:r>
      <w:r w:rsidR="00110F6B">
        <w:t xml:space="preserve"> according to the</w:t>
      </w:r>
      <w:r w:rsidR="00863FC8">
        <w:t xml:space="preserve"> WF</w:t>
      </w:r>
      <w:r w:rsidR="00110F6B">
        <w:t xml:space="preserve"> </w:t>
      </w:r>
      <w:r w:rsidR="00BB76F2">
        <w:t>discussed among many companies in the previous meeting</w:t>
      </w:r>
      <w:r w:rsidR="00863FC8">
        <w:t xml:space="preserve"> </w:t>
      </w:r>
      <w:r w:rsidR="00863FC8">
        <w:fldChar w:fldCharType="begin"/>
      </w:r>
      <w:r w:rsidR="00863FC8">
        <w:instrText xml:space="preserve"> REF _Ref509928030 \r \h </w:instrText>
      </w:r>
      <w:r w:rsidR="00863FC8">
        <w:fldChar w:fldCharType="separate"/>
      </w:r>
      <w:r w:rsidR="00980C23">
        <w:t>[1]</w:t>
      </w:r>
      <w:r w:rsidR="00863FC8">
        <w:fldChar w:fldCharType="end"/>
      </w:r>
      <w:r w:rsidR="00BB76F2">
        <w:t>:</w:t>
      </w:r>
    </w:p>
    <w:p w14:paraId="317B0526" w14:textId="32957E14" w:rsidR="00B906F7" w:rsidRPr="00542D45" w:rsidRDefault="00D85181" w:rsidP="00DB2A58">
      <w:pPr>
        <w:pStyle w:val="Proposal"/>
      </w:pPr>
      <w:bookmarkStart w:id="14" w:name="_Toc509931089"/>
      <w:bookmarkStart w:id="15" w:name="_Toc509931200"/>
      <w:bookmarkStart w:id="16" w:name="_Toc509931255"/>
      <w:bookmarkStart w:id="17" w:name="_Toc510772815"/>
      <w:bookmarkStart w:id="18" w:name="_Toc506560689"/>
      <w:r w:rsidRPr="0078137E">
        <w:t xml:space="preserve">Confirm the working assumption on CSI-RS sequence mapping with a change </w:t>
      </w:r>
      <w:r w:rsidR="00BB76F2" w:rsidRPr="0078137E">
        <w:t xml:space="preserve">only </w:t>
      </w:r>
      <w:r w:rsidRPr="0078137E">
        <w:t xml:space="preserve">for </w:t>
      </w:r>
      <w:r>
        <w:t xml:space="preserve">density </w:t>
      </w:r>
      <m:oMath>
        <m:r>
          <m:rPr>
            <m:sty m:val="bi"/>
          </m:rPr>
          <w:rPr>
            <w:rFonts w:ascii="Cambria Math" w:hAnsi="Cambria Math"/>
          </w:rPr>
          <m:t>ρ= 0.5</m:t>
        </m:r>
      </m:oMath>
      <w:r>
        <w:t xml:space="preserve"> according to the text proposal below</w:t>
      </w:r>
      <w:r w:rsidR="00BB76F2">
        <w:t xml:space="preserve"> (no change for densities  </w:t>
      </w:r>
      <m:oMath>
        <m:r>
          <m:rPr>
            <m:sty m:val="bi"/>
          </m:rPr>
          <w:rPr>
            <w:rFonts w:ascii="Cambria Math" w:hAnsi="Cambria Math"/>
          </w:rPr>
          <m:t>ρ=1</m:t>
        </m:r>
      </m:oMath>
      <w:r w:rsidR="00BB76F2">
        <w:t xml:space="preserve"> or </w:t>
      </w:r>
      <m:oMath>
        <m:r>
          <m:rPr>
            <m:sty m:val="bi"/>
          </m:rPr>
          <w:rPr>
            <w:rFonts w:ascii="Cambria Math" w:hAnsi="Cambria Math"/>
          </w:rPr>
          <m:t>ρ=3</m:t>
        </m:r>
      </m:oMath>
      <w:r w:rsidR="00BB76F2">
        <w:t>)</w:t>
      </w:r>
      <w:bookmarkEnd w:id="14"/>
      <w:bookmarkEnd w:id="15"/>
      <w:bookmarkEnd w:id="16"/>
      <w:bookmarkEnd w:id="17"/>
      <w:r w:rsidR="00BB76F2">
        <w:t xml:space="preserve"> </w:t>
      </w:r>
      <w:bookmarkEnd w:id="18"/>
    </w:p>
    <w:p w14:paraId="1605B043" w14:textId="22C9C443" w:rsidR="000F79E5" w:rsidRPr="00B906F7" w:rsidRDefault="000F79E5" w:rsidP="00DB2A58">
      <w:pPr>
        <w:pStyle w:val="BodyText"/>
      </w:pPr>
      <w:r w:rsidRPr="00B906F7">
        <w:rPr>
          <w:highlight w:val="yellow"/>
        </w:rPr>
        <w:t>&gt;&gt;&gt;&gt;&gt;&gt;&gt;&gt;&gt;&gt;&gt;&gt;TEXT PROPOSAL</w:t>
      </w:r>
      <w:r w:rsidR="008A5147" w:rsidRPr="00B906F7">
        <w:rPr>
          <w:highlight w:val="yellow"/>
        </w:rPr>
        <w:t xml:space="preserve"> (38.211) </w:t>
      </w:r>
      <w:r w:rsidRPr="00B906F7">
        <w:rPr>
          <w:highlight w:val="yellow"/>
        </w:rPr>
        <w:t>&lt;&lt;&lt;&lt;&lt;&lt;&lt;&lt;&lt;&lt;&lt;&lt;&lt;&lt;&lt;&lt;&lt;&lt;&lt;&lt;&lt;&lt;&lt;&lt;&lt;&lt;&lt;&lt;&lt;&lt;&lt;&lt;</w:t>
      </w:r>
    </w:p>
    <w:bookmarkStart w:id="19" w:name="_Toc509931090"/>
    <w:bookmarkStart w:id="20" w:name="_Toc509931201"/>
    <w:p w14:paraId="79B17421" w14:textId="51D58B3D" w:rsidR="000F79E5" w:rsidRDefault="00110F6B" w:rsidP="0051205F">
      <w:pPr>
        <w:pStyle w:val="BodyText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E4DFAC" wp14:editId="75FD0FF9">
                <wp:simplePos x="0" y="0"/>
                <wp:positionH relativeFrom="column">
                  <wp:posOffset>2084118</wp:posOffset>
                </wp:positionH>
                <wp:positionV relativeFrom="paragraph">
                  <wp:posOffset>1336650</wp:posOffset>
                </wp:positionV>
                <wp:extent cx="1425039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5039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858938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1pt,105.25pt" to="276.3pt,10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" strokecolor="red"/>
            </w:pict>
          </mc:Fallback>
        </mc:AlternateContent>
      </w:r>
      <w:bookmarkEnd w:id="19"/>
      <w:bookmarkEnd w:id="20"/>
      <w:r w:rsidRPr="00667AEC">
        <w:rPr>
          <w:position w:val="-130"/>
        </w:rPr>
        <w:object w:dxaOrig="3100" w:dyaOrig="2700" w14:anchorId="4749248E">
          <v:shape id="_x0000_i1031" type="#_x0000_t75" style="width:155.5pt;height:135.6pt" o:ole="">
            <v:imagedata r:id="rId20" o:title=""/>
          </v:shape>
          <o:OLEObject Type="Embed" ProgID="Equation.3" ShapeID="_x0000_i1031" DrawAspect="Content" ObjectID="_1584525418" r:id="rId21"/>
        </w:object>
      </w:r>
    </w:p>
    <w:p w14:paraId="0EBBA455" w14:textId="4568A63F" w:rsidR="007D35CC" w:rsidRPr="00980C23" w:rsidRDefault="00EB28A7" w:rsidP="0051205F">
      <w:pPr>
        <w:pStyle w:val="BodyText"/>
      </w:pPr>
      <w:bookmarkStart w:id="21" w:name="_Toc509931202"/>
      <m:oMathPara>
        <m:oMath>
          <m:r>
            <w:rPr>
              <w:rFonts w:ascii="Cambria Math" w:hAnsi="Cambria Math"/>
            </w:rPr>
            <m:t>α</m:t>
          </m:r>
          <m:r>
            <w:rPr>
              <w:rFonts w:ascii="Cambria Math" w:hAnsi="Cambria Math"/>
              <w:color w:val="FF0000"/>
            </w:rPr>
            <m:t>=</m:t>
          </m:r>
          <m:d>
            <m:dPr>
              <m:endChr m:val=""/>
              <m:ctrlPr>
                <w:rPr>
                  <w:rFonts w:ascii="Cambria Math" w:hAnsi="Cambria Math"/>
                  <w:i/>
                  <w:iCs/>
                  <w:color w:val="FF000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color w:val="FF0000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FF0000"/>
                      </w:rPr>
                      <m:t>ρ 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</w:rPr>
                      <m:t>for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 X=1 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</w:rPr>
                      <m:t>and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 ρ=1,3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FF0000"/>
                      </w:rPr>
                      <m:t>2ρ 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</w:rPr>
                      <m:t>for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 X&gt;1 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</w:rPr>
                      <m:t>and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 ρ=1      </m:t>
                    </m:r>
                  </m:e>
                </m:mr>
                <m:m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iCs/>
                            <w:color w:val="FF0000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1 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FF0000"/>
                          </w:rPr>
                          <m:t>for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color w:val="FF0000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X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color w:val="FF0000"/>
                          </w:rPr>
                          <m:t> = 1 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FF0000"/>
                          </w:rPr>
                          <m:t>and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ρ=0.5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2 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FF0000"/>
                          </w:rPr>
                          <m:t>for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color w:val="FF0000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X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color w:val="FF0000"/>
                          </w:rPr>
                          <m:t> &gt; 1 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FF0000"/>
                          </w:rPr>
                          <m:t>and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ρ=0.5</m:t>
                        </m:r>
                      </m:e>
                    </m:eqArr>
                  </m:e>
                </m:mr>
              </m:m>
            </m:e>
          </m:d>
        </m:oMath>
      </m:oMathPara>
      <w:bookmarkEnd w:id="21"/>
    </w:p>
    <w:p w14:paraId="72D1000B" w14:textId="25293274" w:rsidR="00BB76F2" w:rsidRDefault="00C7505C" w:rsidP="00852A79">
      <w:r w:rsidRPr="0078137E">
        <w:rPr>
          <w:highlight w:val="yellow"/>
        </w:rPr>
        <w:t>&gt;&gt;&gt;&gt;&gt;&gt;&gt;&gt;&gt;&gt;&gt;&gt;  End text proposal  &gt;&gt;&gt;&gt;&gt;&gt;&gt;&gt;&gt;&gt;&gt;&gt;</w:t>
      </w:r>
    </w:p>
    <w:p w14:paraId="4AF841DE" w14:textId="209DDB27" w:rsidR="006F12FD" w:rsidRDefault="00863FC8" w:rsidP="00852A79">
      <w:r>
        <w:t xml:space="preserve">With this change, </w:t>
      </w:r>
      <w:r w:rsidR="009F23FB">
        <w:t xml:space="preserve">resource sharing </w:t>
      </w:r>
      <w:r>
        <w:t xml:space="preserve">is enabled </w:t>
      </w:r>
      <w:r w:rsidR="009F23FB">
        <w:t xml:space="preserve">for any number of ports </w:t>
      </w:r>
      <w:r w:rsidR="00085274">
        <w:t>(but not across resources with X=1 port</w:t>
      </w:r>
      <w:r>
        <w:t xml:space="preserve"> </w:t>
      </w:r>
      <w:r w:rsidR="00085274">
        <w:t xml:space="preserve">and X&gt;1 ports) </w:t>
      </w:r>
      <w:r w:rsidR="009F23FB">
        <w:t xml:space="preserve">independent of density, except for the case </w:t>
      </w:r>
      <m:oMath>
        <m:r>
          <w:rPr>
            <w:rFonts w:ascii="Cambria Math" w:hAnsi="Cambria Math"/>
          </w:rPr>
          <m:t>ρ=3</m:t>
        </m:r>
      </m:oMath>
      <w:r w:rsidR="009F23FB">
        <w:t xml:space="preserve">. </w:t>
      </w:r>
      <w:r>
        <w:t>As stated above,</w:t>
      </w:r>
      <w:r w:rsidR="00156291">
        <w:t xml:space="preserve"> this proposal </w:t>
      </w:r>
      <w:r>
        <w:t xml:space="preserve">leaves the agreement on </w:t>
      </w:r>
      <m:oMath>
        <m:r>
          <w:rPr>
            <w:rFonts w:ascii="Cambria Math" w:hAnsi="Cambria Math"/>
          </w:rPr>
          <m:t>ρ=1</m:t>
        </m:r>
      </m:oMath>
      <w:r w:rsidR="00156291">
        <w:t xml:space="preserve"> and </w:t>
      </w:r>
      <m:oMath>
        <m:r>
          <w:rPr>
            <w:rFonts w:ascii="Cambria Math" w:hAnsi="Cambria Math"/>
          </w:rPr>
          <m:t>ρ=3</m:t>
        </m:r>
      </m:oMath>
      <w:r>
        <w:t xml:space="preserve"> intact</w:t>
      </w:r>
      <w:r w:rsidR="00156291">
        <w:t xml:space="preserve">. Since most implementations would presumably dimension sequence lengths for these cases anyway, the above proposal to not require the UE to generate sequences any longer than the original working assumption. </w:t>
      </w:r>
      <w:r w:rsidR="00827448">
        <w:t xml:space="preserve">In </w:t>
      </w:r>
      <w:r w:rsidR="00827448">
        <w:fldChar w:fldCharType="begin"/>
      </w:r>
      <w:r w:rsidR="00827448">
        <w:instrText xml:space="preserve"> REF _Ref510772208 \n \h </w:instrText>
      </w:r>
      <w:r w:rsidR="00827448">
        <w:fldChar w:fldCharType="separate"/>
      </w:r>
      <w:r w:rsidR="00980C23">
        <w:t>[3]</w:t>
      </w:r>
      <w:r w:rsidR="00827448">
        <w:fldChar w:fldCharType="end"/>
      </w:r>
      <w:r w:rsidR="00827448">
        <w:t xml:space="preserve"> we show </w:t>
      </w:r>
      <w:r w:rsidR="004E24AD">
        <w:t xml:space="preserve">that the correlation properties of the CSI-RS sequences are the same </w:t>
      </w:r>
      <w:r w:rsidR="00134BF5">
        <w:t xml:space="preserve">for the proposed update for the density 0.5 case as </w:t>
      </w:r>
      <w:r w:rsidR="004E24AD">
        <w:t>for the WA</w:t>
      </w:r>
      <w:r w:rsidR="00134BF5">
        <w:t>,</w:t>
      </w:r>
      <w:r w:rsidR="004E24AD">
        <w:t xml:space="preserve"> as it stands.</w:t>
      </w:r>
    </w:p>
    <w:p w14:paraId="02CD95AB" w14:textId="2FED93DE" w:rsidR="00052E93" w:rsidRPr="00052E93" w:rsidRDefault="00052E93" w:rsidP="00052E93">
      <w:r>
        <w:t>According to the</w:t>
      </w:r>
      <w:r w:rsidR="004A16A0">
        <w:t xml:space="preserve"> above</w:t>
      </w:r>
      <w:r>
        <w:t xml:space="preserve"> proposal</w:t>
      </w:r>
      <w:r w:rsidR="004A16A0">
        <w:t xml:space="preserve"> (in the case of</w:t>
      </w:r>
      <w:r w:rsidR="004A16A0" w:rsidRPr="00052E93">
        <w:t xml:space="preserve"> </w:t>
      </w:r>
      <m:oMath>
        <m:r>
          <w:rPr>
            <w:rFonts w:ascii="Cambria Math" w:hAnsi="Cambria Math"/>
          </w:rPr>
          <m:t>ρ</m:t>
        </m:r>
      </m:oMath>
      <w:r w:rsidRPr="0078137E">
        <w:t>&lt;3</w:t>
      </w:r>
      <w:r w:rsidR="004A16A0" w:rsidRPr="0078137E">
        <w:t>)</w:t>
      </w:r>
      <w:r w:rsidRPr="00052E93">
        <w:t xml:space="preserve"> the sequence used on a given subcarrier may be derived</w:t>
      </w:r>
      <w:r w:rsidR="00C7505C">
        <w:t xml:space="preserve"> (assuming</w:t>
      </w:r>
      <w:r w:rsidR="007D35CC" w:rsidRPr="0078137E">
        <w:rPr>
          <w:i/>
        </w:rPr>
        <w:t xml:space="preserve"> ScramblingID</w:t>
      </w:r>
      <w:r w:rsidR="007D35CC">
        <w:t xml:space="preserve"> is</w:t>
      </w:r>
      <w:r w:rsidR="00C7505C">
        <w:t xml:space="preserve"> known)</w:t>
      </w:r>
      <w:r w:rsidRPr="00052E93">
        <w:t xml:space="preserve"> from the absolute subcarrier index</w:t>
      </w:r>
      <w:r w:rsidR="00863FC8">
        <w:t xml:space="preserve">; </w:t>
      </w:r>
      <w:r w:rsidRPr="00052E93">
        <w:t xml:space="preserve">it is independent </w:t>
      </w:r>
      <w:r w:rsidR="00D447E4">
        <w:t>of</w:t>
      </w:r>
      <w:r w:rsidRPr="00052E93">
        <w:t xml:space="preserve"> the number of ports in the CSI-RS resource. </w:t>
      </w:r>
      <w:r w:rsidR="00156291">
        <w:t>From a forward compatibility perspective, this can</w:t>
      </w:r>
      <w:r w:rsidRPr="00052E93">
        <w:t xml:space="preserve"> prove </w:t>
      </w:r>
      <w:r w:rsidR="00156291">
        <w:t xml:space="preserve">to be </w:t>
      </w:r>
      <w:r w:rsidRPr="00052E93">
        <w:t>beneficial for advanced interference cancelling schemes.</w:t>
      </w:r>
    </w:p>
    <w:p w14:paraId="73D20A15" w14:textId="3C64AD5D" w:rsidR="006A618C" w:rsidRDefault="00B22552" w:rsidP="00852A79">
      <w:r>
        <w:t>To illustrate the proposal, revisit the example above, and assume X</w:t>
      </w:r>
      <w:r w:rsidR="00085274">
        <w:t xml:space="preserve"> </w:t>
      </w:r>
      <w:r>
        <w:t>=</w:t>
      </w:r>
      <w:r w:rsidR="00085274">
        <w:t xml:space="preserve"> </w:t>
      </w:r>
      <w:r>
        <w:t>8 port</w:t>
      </w:r>
      <w:r w:rsidR="00863FC8">
        <w:t>s</w:t>
      </w:r>
      <w:r>
        <w:t xml:space="preserve">. </w:t>
      </w:r>
      <w:r w:rsidR="00156291">
        <w:t>A</w:t>
      </w:r>
      <w:r w:rsidR="004A16A0">
        <w:t>ccording to the</w:t>
      </w:r>
      <w:r>
        <w:t xml:space="preserve"> working assumption, sequences are mapped as </w:t>
      </w:r>
      <w:r w:rsidR="00863FC8">
        <w:t xml:space="preserve">shown </w:t>
      </w:r>
      <w:r>
        <w:t xml:space="preserve">in </w:t>
      </w:r>
      <w:r>
        <w:fldChar w:fldCharType="begin"/>
      </w:r>
      <w:r>
        <w:instrText xml:space="preserve"> REF _Ref505687200 \h </w:instrText>
      </w:r>
      <w:r>
        <w:fldChar w:fldCharType="separate"/>
      </w:r>
      <w:r w:rsidR="00980C23" w:rsidRPr="0078137E">
        <w:t xml:space="preserve">Figure </w:t>
      </w:r>
      <w:r w:rsidR="00980C23">
        <w:rPr>
          <w:noProof/>
        </w:rPr>
        <w:t>3</w:t>
      </w:r>
      <w:r>
        <w:fldChar w:fldCharType="end"/>
      </w:r>
      <w:r>
        <w:t>. In this case</w:t>
      </w:r>
      <w:r w:rsidR="00863FC8">
        <w:t>,</w:t>
      </w:r>
      <w:r>
        <w:t xml:space="preserve"> the t</w:t>
      </w:r>
      <w:r w:rsidR="000E6423">
        <w:t>ransmitted CSI-RS resources can</w:t>
      </w:r>
      <w:r>
        <w:t xml:space="preserve">not be shared (even if </w:t>
      </w:r>
      <w:r w:rsidR="00F8701D" w:rsidRPr="0078137E">
        <w:t xml:space="preserve">higher-layer parameter </w:t>
      </w:r>
      <w:r w:rsidR="00F8701D" w:rsidRPr="0078137E">
        <w:rPr>
          <w:i/>
        </w:rPr>
        <w:t>ScramblingID</w:t>
      </w:r>
      <w:r>
        <w:t xml:space="preserve"> is identical)</w:t>
      </w:r>
      <w:r w:rsidR="00863FC8">
        <w:t xml:space="preserve"> </w:t>
      </w:r>
      <w:r w:rsidR="000D4D2B">
        <w:t>as</w:t>
      </w:r>
      <w:r>
        <w:t xml:space="preserve"> UE1 and UE2 will expect different sequences. </w:t>
      </w:r>
      <w:r w:rsidR="00863FC8">
        <w:t>O</w:t>
      </w:r>
      <w:r>
        <w:t>rthogonal resource</w:t>
      </w:r>
      <w:r w:rsidR="000D4D2B">
        <w:t>s</w:t>
      </w:r>
      <w:r>
        <w:t xml:space="preserve"> need to be assigned</w:t>
      </w:r>
      <w:r w:rsidR="00156291">
        <w:t xml:space="preserve"> to the two UEs </w:t>
      </w:r>
      <w:r w:rsidR="00134BF5">
        <w:t>- this</w:t>
      </w:r>
      <w:r w:rsidR="00156291">
        <w:t xml:space="preserve"> undesirable from a resource </w:t>
      </w:r>
      <w:r w:rsidR="00532C9A">
        <w:t>wastage point of view</w:t>
      </w:r>
      <w:r>
        <w:t>.</w:t>
      </w:r>
    </w:p>
    <w:p w14:paraId="4B5D2CB1" w14:textId="26245CB3" w:rsidR="00B22552" w:rsidRDefault="00B22552" w:rsidP="00B22552">
      <w:pPr>
        <w:keepNext/>
      </w:pPr>
      <w:r w:rsidRPr="00B22552">
        <w:rPr>
          <w:noProof/>
        </w:rPr>
        <w:drawing>
          <wp:inline distT="0" distB="0" distL="0" distR="0" wp14:anchorId="7F0B5747" wp14:editId="43C84CD8">
            <wp:extent cx="5943600" cy="219716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97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321C0" w14:textId="33737029" w:rsidR="001D3AA2" w:rsidRPr="0078137E" w:rsidRDefault="00B22552" w:rsidP="00B22552">
      <w:pPr>
        <w:pStyle w:val="Caption"/>
      </w:pPr>
      <w:bookmarkStart w:id="22" w:name="_Ref505687200"/>
      <w:r w:rsidRPr="0078137E">
        <w:t xml:space="preserve">Figure </w:t>
      </w:r>
      <w:r>
        <w:fldChar w:fldCharType="begin"/>
      </w:r>
      <w:r w:rsidRPr="0078137E">
        <w:instrText xml:space="preserve"> SEQ Figure \* ARABIC </w:instrText>
      </w:r>
      <w:r>
        <w:fldChar w:fldCharType="separate"/>
      </w:r>
      <w:r w:rsidR="00980C23">
        <w:rPr>
          <w:noProof/>
        </w:rPr>
        <w:t>3</w:t>
      </w:r>
      <w:r>
        <w:fldChar w:fldCharType="end"/>
      </w:r>
      <w:bookmarkEnd w:id="22"/>
      <w:r w:rsidRPr="0078137E">
        <w:tab/>
        <w:t>Example of sequence mapping</w:t>
      </w:r>
      <w:r w:rsidR="00DC636C" w:rsidRPr="0078137E">
        <w:t xml:space="preserve"> in RB n=5</w:t>
      </w:r>
      <w:r w:rsidRPr="0078137E">
        <w:t xml:space="preserve"> according to the current working assumption</w:t>
      </w:r>
      <w:r w:rsidR="00DC636C" w:rsidRPr="0078137E">
        <w:t>.</w:t>
      </w:r>
    </w:p>
    <w:p w14:paraId="69AEBE0F" w14:textId="22DE6CFD" w:rsidR="00B22552" w:rsidRPr="0078137E" w:rsidRDefault="004A16A0" w:rsidP="00B22552">
      <w:r w:rsidRPr="0078137E">
        <w:t>In contrast, according to</w:t>
      </w:r>
      <w:r w:rsidR="00532C9A" w:rsidRPr="0078137E">
        <w:t xml:space="preserve"> the proposed change for density </w:t>
      </w:r>
      <m:oMath>
        <m:r>
          <w:rPr>
            <w:rFonts w:ascii="Cambria Math" w:hAnsi="Cambria Math"/>
          </w:rPr>
          <m:t>ρ=0.5</m:t>
        </m:r>
      </m:oMath>
      <w:r w:rsidRPr="0078137E">
        <w:t>,</w:t>
      </w:r>
      <w:r w:rsidR="00DC636C" w:rsidRPr="0078137E">
        <w:t xml:space="preserve"> the sequence mapping</w:t>
      </w:r>
      <w:r w:rsidR="000F1BA2" w:rsidRPr="0078137E">
        <w:t xml:space="preserve"> for UE2 </w:t>
      </w:r>
      <w:r w:rsidR="00532C9A" w:rsidRPr="0078137E">
        <w:t>becomes that shown in</w:t>
      </w:r>
      <w:r w:rsidR="000F1BA2" w:rsidRPr="0078137E">
        <w:t xml:space="preserve"> </w:t>
      </w:r>
      <w:r w:rsidR="000F1BA2">
        <w:fldChar w:fldCharType="begin"/>
      </w:r>
      <w:r w:rsidR="000F1BA2" w:rsidRPr="0078137E">
        <w:instrText xml:space="preserve"> REF _Ref505687772 \h </w:instrText>
      </w:r>
      <w:r w:rsidR="000F1BA2">
        <w:fldChar w:fldCharType="separate"/>
      </w:r>
      <w:r w:rsidR="00980C23" w:rsidRPr="0078137E">
        <w:t xml:space="preserve">Figure </w:t>
      </w:r>
      <w:r w:rsidR="00980C23">
        <w:rPr>
          <w:noProof/>
        </w:rPr>
        <w:t>4</w:t>
      </w:r>
      <w:r w:rsidR="000F1BA2">
        <w:fldChar w:fldCharType="end"/>
      </w:r>
      <w:r w:rsidR="000F1BA2" w:rsidRPr="0078137E">
        <w:t xml:space="preserve">. </w:t>
      </w:r>
      <w:r w:rsidR="00532C9A" w:rsidRPr="0078137E">
        <w:t xml:space="preserve">Evidently the index </w:t>
      </w:r>
      <m:oMath>
        <m:r>
          <w:rPr>
            <w:rFonts w:ascii="Cambria Math" w:hAnsi="Cambria Math"/>
          </w:rPr>
          <m:t>m'</m:t>
        </m:r>
      </m:oMath>
      <w:r w:rsidR="00532C9A" w:rsidRPr="0078137E">
        <w:t xml:space="preserve"> for both UE2 and UE1 are now both the same, meaning the sequence values in the overlapping RBs become the same. This is what allows time/frequency resource sharing, thus avoiding the resource wastage problem.</w:t>
      </w:r>
    </w:p>
    <w:p w14:paraId="2B1CFC45" w14:textId="77777777" w:rsidR="000F1BA2" w:rsidRDefault="000F1BA2" w:rsidP="000F1BA2">
      <w:pPr>
        <w:keepNext/>
      </w:pPr>
      <w:r w:rsidRPr="000F1BA2">
        <w:rPr>
          <w:noProof/>
        </w:rPr>
        <w:lastRenderedPageBreak/>
        <w:drawing>
          <wp:inline distT="0" distB="0" distL="0" distR="0" wp14:anchorId="631C495C" wp14:editId="3D18EDFC">
            <wp:extent cx="5943600" cy="102575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25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FA5E9" w14:textId="30563835" w:rsidR="000F1BA2" w:rsidRPr="0078137E" w:rsidRDefault="000F1BA2" w:rsidP="000F1BA2">
      <w:pPr>
        <w:pStyle w:val="Caption"/>
      </w:pPr>
      <w:bookmarkStart w:id="23" w:name="_Ref505687772"/>
      <w:r w:rsidRPr="0078137E">
        <w:t xml:space="preserve">Figure </w:t>
      </w:r>
      <w:r>
        <w:fldChar w:fldCharType="begin"/>
      </w:r>
      <w:r w:rsidRPr="0078137E">
        <w:instrText xml:space="preserve"> SEQ Figure \* ARABIC </w:instrText>
      </w:r>
      <w:r>
        <w:fldChar w:fldCharType="separate"/>
      </w:r>
      <w:r w:rsidR="00980C23">
        <w:rPr>
          <w:noProof/>
        </w:rPr>
        <w:t>4</w:t>
      </w:r>
      <w:r>
        <w:fldChar w:fldCharType="end"/>
      </w:r>
      <w:bookmarkEnd w:id="23"/>
      <w:r w:rsidRPr="0078137E">
        <w:tab/>
        <w:t>Example of sequence mapping in RB n=5 for UE2 according to the proposal.</w:t>
      </w:r>
    </w:p>
    <w:p w14:paraId="3F45762F" w14:textId="53804182" w:rsidR="00943D52" w:rsidRDefault="00943D52" w:rsidP="00943D52">
      <w:pPr>
        <w:pStyle w:val="Heading2"/>
      </w:pPr>
      <w:bookmarkStart w:id="24" w:name="_Toc510772726"/>
      <w:bookmarkStart w:id="25" w:name="_Toc510772816"/>
      <w:r>
        <w:t>On additional periodicities for CSI-IM</w:t>
      </w:r>
      <w:bookmarkEnd w:id="24"/>
      <w:bookmarkEnd w:id="25"/>
    </w:p>
    <w:p w14:paraId="29C4CFE3" w14:textId="2BCE26A9" w:rsidR="00943D52" w:rsidRPr="0078137E" w:rsidRDefault="00943D52" w:rsidP="00943D52">
      <w:r w:rsidRPr="0078137E">
        <w:t xml:space="preserve">In </w:t>
      </w:r>
      <w:r w:rsidR="00C922DA">
        <w:fldChar w:fldCharType="begin"/>
      </w:r>
      <w:r w:rsidR="00C922DA" w:rsidRPr="0078137E">
        <w:instrText xml:space="preserve"> REF _Ref510772442 \n \h </w:instrText>
      </w:r>
      <w:r w:rsidR="00C922DA">
        <w:fldChar w:fldCharType="separate"/>
      </w:r>
      <w:r w:rsidR="00980C23">
        <w:t>[4]</w:t>
      </w:r>
      <w:r w:rsidR="00C922DA">
        <w:fldChar w:fldCharType="end"/>
      </w:r>
      <w:r w:rsidR="00C922DA" w:rsidRPr="0078137E">
        <w:t xml:space="preserve"> we showed that while 1ms CSI-IM periodicity increases interference estimation quality, the additional overhead results in a net loss in performance. Also noting that specifying any additional periodicity would require RRC changes, we propose</w:t>
      </w:r>
    </w:p>
    <w:p w14:paraId="40A920F9" w14:textId="58C22286" w:rsidR="00C922DA" w:rsidRPr="0078137E" w:rsidRDefault="00C922DA" w:rsidP="00AC280A">
      <w:pPr>
        <w:pStyle w:val="Proposal"/>
      </w:pPr>
      <w:bookmarkStart w:id="26" w:name="_Toc510772817"/>
      <w:r w:rsidRPr="0078137E">
        <w:t>1ms CSI-IM periodicity is not supported.</w:t>
      </w:r>
      <w:bookmarkEnd w:id="26"/>
    </w:p>
    <w:p w14:paraId="218CAA28" w14:textId="29961E4B" w:rsidR="000F1BA2" w:rsidRPr="00C133E1" w:rsidRDefault="001A16B4" w:rsidP="001A16B4">
      <w:pPr>
        <w:pStyle w:val="Heading2"/>
      </w:pPr>
      <w:bookmarkStart w:id="27" w:name="_Toc510772727"/>
      <w:bookmarkStart w:id="28" w:name="_Toc510772818"/>
      <w:r w:rsidRPr="00C133E1">
        <w:t>On additional periodicities for CSI-RS</w:t>
      </w:r>
      <w:bookmarkEnd w:id="27"/>
      <w:bookmarkEnd w:id="28"/>
    </w:p>
    <w:p w14:paraId="3728A827" w14:textId="78F28AE1" w:rsidR="00C133E1" w:rsidRDefault="00F4591C" w:rsidP="00C133E1">
      <w:pPr>
        <w:pStyle w:val="BodyText"/>
      </w:pPr>
      <w:r w:rsidRPr="0078137E">
        <w:t xml:space="preserve">In </w:t>
      </w:r>
      <w:r>
        <w:fldChar w:fldCharType="begin"/>
      </w:r>
      <w:r w:rsidRPr="0078137E">
        <w:instrText xml:space="preserve"> REF _Ref510713909 \n \h </w:instrText>
      </w:r>
      <w:r>
        <w:fldChar w:fldCharType="separate"/>
      </w:r>
      <w:r w:rsidR="00980C23">
        <w:t>[2]</w:t>
      </w:r>
      <w:r>
        <w:fldChar w:fldCharType="end"/>
      </w:r>
      <w:r w:rsidRPr="0078137E">
        <w:t xml:space="preserve"> we show that</w:t>
      </w:r>
      <w:r>
        <w:t xml:space="preserve"> only</w:t>
      </w:r>
      <w:r w:rsidR="00DA2B1B">
        <w:t xml:space="preserve"> DL/UL</w:t>
      </w:r>
      <w:r>
        <w:t xml:space="preserve"> </w:t>
      </w:r>
      <w:r w:rsidR="00C053A9">
        <w:t xml:space="preserve">assignment </w:t>
      </w:r>
      <w:r>
        <w:t>periodicities</w:t>
      </w:r>
      <w:r w:rsidR="00462A9A">
        <w:t xml:space="preserve"> in the set</w:t>
      </w:r>
      <w:r>
        <w:t xml:space="preserve"> {1, 2, 4, 5, 8, 10, 16, 20, 32, 40, 64, 80, 160, and 320} </w:t>
      </w:r>
      <w:r w:rsidR="00DA2B1B">
        <w:t xml:space="preserve">slots </w:t>
      </w:r>
      <w:r>
        <w:t xml:space="preserve">are compatible </w:t>
      </w:r>
      <w:r w:rsidR="00134BF5">
        <w:t xml:space="preserve">with </w:t>
      </w:r>
      <w:r>
        <w:t>SSB transmission</w:t>
      </w:r>
      <w:r w:rsidR="00C133E1">
        <w:t xml:space="preserve">. Every one of these periodicity values </w:t>
      </w:r>
      <w:r w:rsidR="00B0146C">
        <w:t xml:space="preserve">greater than or equal to 4 </w:t>
      </w:r>
      <w:r w:rsidR="00C133E1">
        <w:t>is already supported for CSI-RS, hence</w:t>
      </w:r>
      <w:r>
        <w:t xml:space="preserve"> we propose</w:t>
      </w:r>
    </w:p>
    <w:p w14:paraId="7FB52787" w14:textId="0B4ACEA6" w:rsidR="001A16B4" w:rsidRPr="00437E11" w:rsidRDefault="00C133E1" w:rsidP="001A16B4">
      <w:pPr>
        <w:pStyle w:val="Proposal"/>
      </w:pPr>
      <w:bookmarkStart w:id="29" w:name="_Toc506558804"/>
      <w:bookmarkStart w:id="30" w:name="_Toc506558839"/>
      <w:bookmarkStart w:id="31" w:name="_Toc506560691"/>
      <w:bookmarkStart w:id="32" w:name="_Toc509931091"/>
      <w:bookmarkStart w:id="33" w:name="_Toc509931203"/>
      <w:bookmarkStart w:id="34" w:name="_Toc509931256"/>
      <w:bookmarkStart w:id="35" w:name="_Toc510772819"/>
      <w:r>
        <w:t>For periodic/semi-persistent CSI-RS, no further periodicities and slot offsets need to be defined for Rel-15.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56327F3C" w14:textId="77777777" w:rsidR="00C01F33" w:rsidRPr="00CE0424" w:rsidRDefault="00C01F33" w:rsidP="003A0E41">
      <w:pPr>
        <w:pStyle w:val="Heading1"/>
      </w:pPr>
      <w:bookmarkStart w:id="36" w:name="_Toc510772728"/>
      <w:bookmarkStart w:id="37" w:name="_Toc510772820"/>
      <w:r w:rsidRPr="00CE0424">
        <w:t>Conclusion</w:t>
      </w:r>
      <w:r w:rsidR="00AE2FEB">
        <w:t>s</w:t>
      </w:r>
      <w:bookmarkEnd w:id="36"/>
      <w:bookmarkEnd w:id="37"/>
    </w:p>
    <w:p w14:paraId="6A4817C8" w14:textId="169B90EA" w:rsidR="002451ED" w:rsidRPr="0078137E" w:rsidRDefault="003A0E41" w:rsidP="008E065E">
      <w:pPr>
        <w:pStyle w:val="BodyText"/>
      </w:pPr>
      <w:r w:rsidRPr="0078137E">
        <w:t>In this contribution</w:t>
      </w:r>
      <w:r w:rsidR="00DC2639" w:rsidRPr="0078137E">
        <w:t>,</w:t>
      </w:r>
      <w:r w:rsidRPr="0078137E">
        <w:t xml:space="preserve"> we made the following ob</w:t>
      </w:r>
      <w:r w:rsidR="004033B5" w:rsidRPr="0078137E">
        <w:t>s</w:t>
      </w:r>
      <w:r w:rsidRPr="0078137E">
        <w:t>ervations</w:t>
      </w:r>
      <w:r w:rsidR="008E065E" w:rsidRPr="0078137E">
        <w:t>:</w:t>
      </w:r>
    </w:p>
    <w:p w14:paraId="7EBA660B" w14:textId="4D195BC9" w:rsidR="00162BC3" w:rsidRDefault="00162BC3" w:rsidP="00AC280A">
      <w:pPr>
        <w:pStyle w:val="TOC2"/>
        <w:keepNext/>
        <w:spacing w:before="120"/>
        <w:ind w:left="1701" w:hanging="1701"/>
        <w:outlineLvl w:val="0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\o "1-3" \p " " \h \z \t "Observation;4" </w:instrText>
      </w:r>
      <w:r>
        <w:rPr>
          <w:b w:val="0"/>
          <w:bCs/>
        </w:rPr>
        <w:fldChar w:fldCharType="separate"/>
      </w:r>
    </w:p>
    <w:p w14:paraId="4FE9B8D8" w14:textId="5610F875" w:rsidR="00162BC3" w:rsidRDefault="00484C75" w:rsidP="00AC280A">
      <w:pPr>
        <w:pStyle w:val="TOC4"/>
        <w:outlineLvl w:val="0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hyperlink w:anchor="_Toc510772725" w:history="1">
        <w:r w:rsidR="00162BC3" w:rsidRPr="00B0124E">
          <w:rPr>
            <w:rStyle w:val="Hyperlink"/>
            <w:lang w:val="en-US"/>
          </w:rPr>
          <w:t>Observation 1</w:t>
        </w:r>
        <w:r w:rsidR="00162BC3">
          <w:rPr>
            <w:rFonts w:asciiTheme="minorHAnsi" w:eastAsiaTheme="minorEastAsia" w:hAnsiTheme="minorHAnsi" w:cstheme="minorBidi"/>
            <w:b w:val="0"/>
            <w:sz w:val="22"/>
            <w:szCs w:val="22"/>
            <w:lang w:eastAsia="en-US"/>
          </w:rPr>
          <w:tab/>
        </w:r>
        <w:r w:rsidR="00162BC3" w:rsidRPr="00B0124E">
          <w:rPr>
            <w:rStyle w:val="Hyperlink"/>
            <w:lang w:val="en-US"/>
          </w:rPr>
          <w:t xml:space="preserve">The current working assumption on sequence mapping does not support sharing of physical resources for CSI-RS configurations with different densities </w:t>
        </w:r>
        <m:oMath>
          <m:r>
            <m:rPr>
              <m:sty m:val="b"/>
            </m:rPr>
            <w:rPr>
              <w:rStyle w:val="Hyperlink"/>
              <w:rFonts w:ascii="Cambria Math" w:hAnsi="Cambria Math"/>
            </w:rPr>
            <m:t>ρ=0.5</m:t>
          </m:r>
        </m:oMath>
        <w:r w:rsidR="00162BC3" w:rsidRPr="00B0124E">
          <w:rPr>
            <w:rStyle w:val="Hyperlink"/>
            <w:lang w:val="en-US"/>
          </w:rPr>
          <w:t xml:space="preserve"> and </w:t>
        </w:r>
        <m:oMath>
          <m:r>
            <m:rPr>
              <m:sty m:val="b"/>
            </m:rPr>
            <w:rPr>
              <w:rStyle w:val="Hyperlink"/>
              <w:rFonts w:ascii="Cambria Math" w:hAnsi="Cambria Math"/>
            </w:rPr>
            <m:t>ρ=1</m:t>
          </m:r>
        </m:oMath>
        <w:r w:rsidR="00162BC3" w:rsidRPr="00B0124E">
          <w:rPr>
            <w:rStyle w:val="Hyperlink"/>
            <w:lang w:val="en-US"/>
          </w:rPr>
          <w:t>, leading to wastage of time/frequency resources.</w:t>
        </w:r>
        <w:r w:rsidR="00162BC3">
          <w:rPr>
            <w:webHidden/>
          </w:rPr>
          <w:t xml:space="preserve"> </w:t>
        </w:r>
      </w:hyperlink>
    </w:p>
    <w:p w14:paraId="15DA991F" w14:textId="64579F39" w:rsidR="00F15B7B" w:rsidRDefault="00162BC3" w:rsidP="00DC2639">
      <w:pPr>
        <w:pStyle w:val="BodyText"/>
      </w:pPr>
      <w:r>
        <w:rPr>
          <w:b/>
          <w:bCs/>
        </w:rPr>
        <w:fldChar w:fldCharType="end"/>
      </w:r>
    </w:p>
    <w:p w14:paraId="746ABE4C" w14:textId="410FCBAA" w:rsidR="00B0146C" w:rsidRPr="0078137E" w:rsidRDefault="002611E7" w:rsidP="00DC2639">
      <w:pPr>
        <w:pStyle w:val="BodyText"/>
      </w:pPr>
      <w:r w:rsidRPr="0078137E">
        <w:t>We make the following proposals</w:t>
      </w:r>
      <w:r w:rsidR="002858A0" w:rsidRPr="0078137E">
        <w:t xml:space="preserve"> and text proposal</w:t>
      </w:r>
      <w:r w:rsidRPr="0078137E">
        <w:t>:</w:t>
      </w:r>
    </w:p>
    <w:p w14:paraId="0364DF77" w14:textId="5194A479" w:rsidR="00F25852" w:rsidRDefault="00F25852" w:rsidP="00AC280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fldChar w:fldCharType="begin"/>
      </w:r>
      <w:r>
        <w:rPr>
          <w:bCs/>
        </w:rPr>
        <w:instrText xml:space="preserve"> TOC \o "1-3" \f \n \p " " \t "Proposal;4" </w:instrText>
      </w:r>
      <w:r>
        <w:rPr>
          <w:bCs/>
        </w:rPr>
        <w:fldChar w:fldCharType="separate"/>
      </w:r>
    </w:p>
    <w:p w14:paraId="4FDD9380" w14:textId="77777777" w:rsidR="00F25852" w:rsidRDefault="00F25852">
      <w:pPr>
        <w:pStyle w:val="TOC4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r w:rsidRPr="00ED384B">
        <w:t>Proposal 1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  <w:tab/>
      </w:r>
      <w:r>
        <w:t xml:space="preserve">Confirm the working assumption on CSI-RS sequence mapping with a change only for </w:t>
      </w:r>
      <w:r w:rsidRPr="00ED384B">
        <w:t xml:space="preserve">density </w:t>
      </w:r>
      <m:oMath>
        <m:r>
          <m:rPr>
            <m:sty m:val="b"/>
          </m:rPr>
          <w:rPr>
            <w:rFonts w:ascii="Cambria Math" w:hAnsi="Cambria Math"/>
          </w:rPr>
          <m:t>ρ= 0.5</m:t>
        </m:r>
      </m:oMath>
      <w:r w:rsidRPr="00ED384B">
        <w:t xml:space="preserve"> according to the text proposal below (no change for densities  </w:t>
      </w:r>
      <m:oMath>
        <m:r>
          <m:rPr>
            <m:sty m:val="b"/>
          </m:rPr>
          <w:rPr>
            <w:rFonts w:ascii="Cambria Math" w:hAnsi="Cambria Math"/>
          </w:rPr>
          <m:t>ρ=1</m:t>
        </m:r>
      </m:oMath>
      <w:r w:rsidRPr="00ED384B">
        <w:t xml:space="preserve"> or </w:t>
      </w:r>
      <m:oMath>
        <m:r>
          <m:rPr>
            <m:sty m:val="b"/>
          </m:rPr>
          <w:rPr>
            <w:rFonts w:ascii="Cambria Math" w:hAnsi="Cambria Math"/>
          </w:rPr>
          <m:t>ρ=3</m:t>
        </m:r>
      </m:oMath>
      <w:r w:rsidRPr="00ED384B">
        <w:t>)</w:t>
      </w:r>
    </w:p>
    <w:p w14:paraId="2C91E39E" w14:textId="77777777" w:rsidR="00F25852" w:rsidRDefault="00F25852">
      <w:pPr>
        <w:pStyle w:val="TOC4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  <w:tab/>
      </w:r>
      <w:r>
        <w:t>1ms CSI-IM periodicity is not supported.</w:t>
      </w:r>
    </w:p>
    <w:p w14:paraId="547CA5F0" w14:textId="77777777" w:rsidR="002858A0" w:rsidRDefault="002858A0">
      <w:pPr>
        <w:pStyle w:val="TOC4"/>
      </w:pPr>
    </w:p>
    <w:p w14:paraId="71E0C5D8" w14:textId="645CBAF1" w:rsidR="00F25852" w:rsidRDefault="00F25852">
      <w:pPr>
        <w:pStyle w:val="TOC4"/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</w:pPr>
      <w:r w:rsidRPr="00ED384B">
        <w:t>Proposal 3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eastAsia="en-US"/>
        </w:rPr>
        <w:tab/>
      </w:r>
      <w:r w:rsidRPr="00ED384B">
        <w:t>For periodic/semi-persistent CSI-RS, no further periodicities and slot offsets need to be defined for Rel-15.</w:t>
      </w:r>
    </w:p>
    <w:p w14:paraId="29D9DC20" w14:textId="108449CB" w:rsidR="00B0146C" w:rsidRPr="00980C23" w:rsidRDefault="00F25852" w:rsidP="00DC2639">
      <w:pPr>
        <w:pStyle w:val="BodyText"/>
        <w:rPr>
          <w:b/>
          <w:bCs/>
        </w:rPr>
      </w:pPr>
      <w:r>
        <w:rPr>
          <w:b/>
          <w:bCs/>
          <w:noProof/>
        </w:rPr>
        <w:fldChar w:fldCharType="end"/>
      </w:r>
    </w:p>
    <w:p w14:paraId="13DA92FB" w14:textId="77777777" w:rsidR="00EB28A7" w:rsidRPr="00B906F7" w:rsidRDefault="00EB28A7" w:rsidP="00EB28A7">
      <w:pPr>
        <w:pStyle w:val="BodyText"/>
      </w:pPr>
      <w:r w:rsidRPr="00B906F7">
        <w:rPr>
          <w:highlight w:val="yellow"/>
        </w:rPr>
        <w:t>&gt;&gt;&gt;&gt;&gt;&gt;&gt;&gt;&gt;&gt;&gt;&gt;TEXT PROPOSAL (38.211) &lt;&lt;&lt;&lt;&lt;&lt;&lt;&lt;&lt;&lt;&lt;&lt;&lt;&lt;&lt;&lt;&lt;&lt;&lt;&lt;&lt;&lt;&lt;&lt;&lt;&lt;&lt;&lt;&lt;&lt;&lt;&lt;</w:t>
      </w:r>
    </w:p>
    <w:p w14:paraId="43455304" w14:textId="77777777" w:rsidR="00EB28A7" w:rsidRDefault="00EB28A7" w:rsidP="00EB28A7">
      <w:pPr>
        <w:pStyle w:val="BodyText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3F1438" wp14:editId="50F78208">
                <wp:simplePos x="0" y="0"/>
                <wp:positionH relativeFrom="column">
                  <wp:posOffset>2084118</wp:posOffset>
                </wp:positionH>
                <wp:positionV relativeFrom="paragraph">
                  <wp:posOffset>1336650</wp:posOffset>
                </wp:positionV>
                <wp:extent cx="1425039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5039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5D91E4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1pt,105.25pt" to="276.3pt,10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" strokecolor="red"/>
            </w:pict>
          </mc:Fallback>
        </mc:AlternateContent>
      </w:r>
      <w:r w:rsidRPr="00667AEC">
        <w:rPr>
          <w:position w:val="-130"/>
        </w:rPr>
        <w:object w:dxaOrig="3100" w:dyaOrig="2700" w14:anchorId="3C9DFC08">
          <v:shape id="_x0000_i1032" type="#_x0000_t75" style="width:155.5pt;height:135.6pt" o:ole="">
            <v:imagedata r:id="rId20" o:title=""/>
          </v:shape>
          <o:OLEObject Type="Embed" ProgID="Equation.3" ShapeID="_x0000_i1032" DrawAspect="Content" ObjectID="_1584525419" r:id="rId24"/>
        </w:object>
      </w:r>
    </w:p>
    <w:p w14:paraId="558EA442" w14:textId="77777777" w:rsidR="00EB28A7" w:rsidRPr="00980C23" w:rsidRDefault="00EB28A7" w:rsidP="00EB28A7">
      <w:pPr>
        <w:pStyle w:val="BodyText"/>
      </w:pPr>
      <m:oMathPara>
        <m:oMath>
          <m:r>
            <w:rPr>
              <w:rFonts w:ascii="Cambria Math" w:hAnsi="Cambria Math"/>
            </w:rPr>
            <m:t>α</m:t>
          </m:r>
          <m:r>
            <w:rPr>
              <w:rFonts w:ascii="Cambria Math" w:hAnsi="Cambria Math"/>
              <w:color w:val="FF0000"/>
            </w:rPr>
            <m:t>=</m:t>
          </m:r>
          <m:d>
            <m:dPr>
              <m:endChr m:val=""/>
              <m:ctrlPr>
                <w:rPr>
                  <w:rFonts w:ascii="Cambria Math" w:hAnsi="Cambria Math"/>
                  <w:i/>
                  <w:iCs/>
                  <w:color w:val="FF000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color w:val="FF0000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color w:val="FF0000"/>
                      </w:rPr>
                      <m:t>ρ 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</w:rPr>
                      <m:t>for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 X=1 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</w:rPr>
                      <m:t>and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 ρ=1,3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color w:val="FF0000"/>
                      </w:rPr>
                      <m:t>2ρ 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</w:rPr>
                      <m:t>for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 X&gt;1 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</w:rPr>
                      <m:t>and</m:t>
                    </m:r>
                    <m:r>
                      <w:rPr>
                        <w:rFonts w:ascii="Cambria Math" w:hAnsi="Cambria Math"/>
                        <w:color w:val="FF0000"/>
                      </w:rPr>
                      <m:t> ρ=1      </m:t>
                    </m:r>
                  </m:e>
                </m:mr>
                <m:m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iCs/>
                            <w:color w:val="FF0000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1 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FF0000"/>
                          </w:rPr>
                          <m:t>for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color w:val="FF0000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X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color w:val="FF0000"/>
                          </w:rPr>
                          <m:t> = 1 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FF0000"/>
                          </w:rPr>
                          <m:t>and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ρ=0.5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2 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FF0000"/>
                          </w:rPr>
                          <m:t>for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color w:val="FF0000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X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/>
                            <w:color w:val="FF0000"/>
                          </w:rPr>
                          <m:t> &gt; 1 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FF0000"/>
                          </w:rPr>
                          <m:t>and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 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ρ=0.5</m:t>
                        </m:r>
                      </m:e>
                    </m:eqArr>
                  </m:e>
                </m:mr>
              </m:m>
            </m:e>
          </m:d>
        </m:oMath>
      </m:oMathPara>
    </w:p>
    <w:p w14:paraId="307BBD49" w14:textId="4F0A2A98" w:rsidR="00EB28A7" w:rsidRPr="0051205F" w:rsidRDefault="00EB28A7" w:rsidP="0051205F">
      <w:r w:rsidRPr="00354010">
        <w:rPr>
          <w:highlight w:val="yellow"/>
        </w:rPr>
        <w:t>&gt;&gt;&gt;&gt;&gt;&gt;&gt;&gt;&gt;&gt;&gt;&gt;</w:t>
      </w:r>
      <w:r>
        <w:rPr>
          <w:highlight w:val="yellow"/>
        </w:rPr>
        <w:t xml:space="preserve"> </w:t>
      </w:r>
      <w:r w:rsidRPr="00354010">
        <w:rPr>
          <w:highlight w:val="yellow"/>
        </w:rPr>
        <w:t xml:space="preserve"> End text proposal </w:t>
      </w:r>
      <w:r>
        <w:rPr>
          <w:highlight w:val="yellow"/>
        </w:rPr>
        <w:t xml:space="preserve"> </w:t>
      </w:r>
      <w:r w:rsidRPr="00354010">
        <w:rPr>
          <w:highlight w:val="yellow"/>
        </w:rPr>
        <w:t>&gt;&gt;&gt;&gt;&gt;&gt;&gt;&gt;&gt;&gt;&gt;&gt;</w:t>
      </w:r>
    </w:p>
    <w:p w14:paraId="3F6AB1B5" w14:textId="77777777" w:rsidR="00C133E1" w:rsidRPr="00CE0424" w:rsidRDefault="00C133E1" w:rsidP="00C133E1">
      <w:pPr>
        <w:pStyle w:val="Heading1"/>
      </w:pPr>
      <w:bookmarkStart w:id="38" w:name="_Toc510772729"/>
      <w:bookmarkStart w:id="39" w:name="_Toc510772821"/>
      <w:r w:rsidRPr="00CE0424">
        <w:t>References</w:t>
      </w:r>
      <w:bookmarkEnd w:id="38"/>
      <w:bookmarkEnd w:id="39"/>
    </w:p>
    <w:p w14:paraId="51F6DA49" w14:textId="037DD3F4" w:rsidR="00BB76F2" w:rsidRPr="0078137E" w:rsidRDefault="00BB76F2" w:rsidP="00C133E1">
      <w:pPr>
        <w:pStyle w:val="Reference"/>
      </w:pPr>
      <w:bookmarkStart w:id="40" w:name="_Ref509928030"/>
      <w:bookmarkStart w:id="41" w:name="_Ref506557732"/>
      <w:r w:rsidRPr="0078137E">
        <w:t>R1-1803316, “WF on CSI-RS sequence mapping,” Ericsson, Nokia, NSB, Lenovo, Motorola Mobility, CATT, Intel, Qualcomm, NEC, RAN1#92, February 2018.</w:t>
      </w:r>
      <w:bookmarkEnd w:id="40"/>
    </w:p>
    <w:p w14:paraId="0D38D6D0" w14:textId="52DCF0EA" w:rsidR="00A42783" w:rsidRPr="0078137E" w:rsidRDefault="003A1D62" w:rsidP="003A1D62">
      <w:pPr>
        <w:pStyle w:val="Reference"/>
      </w:pPr>
      <w:r w:rsidRPr="0078137E">
        <w:t>R1-1804999,</w:t>
      </w:r>
      <w:r w:rsidR="00A42783" w:rsidRPr="0078137E">
        <w:tab/>
      </w:r>
      <w:bookmarkStart w:id="42" w:name="_Ref510713909"/>
      <w:r w:rsidR="00A42783" w:rsidRPr="0078137E">
        <w:t>“On additional periodicities for CSI-RS and SRS”</w:t>
      </w:r>
      <w:bookmarkEnd w:id="42"/>
      <w:r w:rsidRPr="0078137E">
        <w:t>, Ericsson, RAN1#92b, April 2018</w:t>
      </w:r>
    </w:p>
    <w:p w14:paraId="011314DB" w14:textId="60B2CEF3" w:rsidR="004E4153" w:rsidRPr="0078137E" w:rsidRDefault="004E4153" w:rsidP="004E4153">
      <w:pPr>
        <w:pStyle w:val="Reference"/>
      </w:pPr>
      <w:bookmarkStart w:id="43" w:name="_Ref510772208"/>
      <w:r w:rsidRPr="0078137E">
        <w:t>R1-1804998, “On correlation of CSI-RS Gold sequences”, Ericsson</w:t>
      </w:r>
      <w:r w:rsidR="00045298" w:rsidRPr="0078137E">
        <w:t>,</w:t>
      </w:r>
      <w:r w:rsidRPr="0078137E">
        <w:t xml:space="preserve"> R</w:t>
      </w:r>
      <w:r w:rsidR="00045298" w:rsidRPr="0078137E">
        <w:t>AN</w:t>
      </w:r>
      <w:r w:rsidRPr="0078137E">
        <w:t>1#92b, April 2018</w:t>
      </w:r>
      <w:bookmarkEnd w:id="43"/>
    </w:p>
    <w:p w14:paraId="77670F65" w14:textId="28072FF7" w:rsidR="00943D52" w:rsidRPr="0078137E" w:rsidRDefault="00045298" w:rsidP="00045298">
      <w:pPr>
        <w:pStyle w:val="Reference"/>
      </w:pPr>
      <w:bookmarkStart w:id="44" w:name="_Ref510772442"/>
      <w:r w:rsidRPr="0078137E">
        <w:t>R1-1802751, “On 1ms CSI-IM periodicity”, Ericsson, RAN1#92, February 2018</w:t>
      </w:r>
      <w:bookmarkEnd w:id="44"/>
    </w:p>
    <w:bookmarkEnd w:id="41"/>
    <w:p w14:paraId="583C01F5" w14:textId="77777777" w:rsidR="00FB6138" w:rsidRPr="0078137E" w:rsidRDefault="00FB6138" w:rsidP="00C133E1">
      <w:pPr>
        <w:pStyle w:val="BodyText"/>
      </w:pPr>
    </w:p>
    <w:p w14:paraId="3BC9304B" w14:textId="79F2DD3B" w:rsidR="003A7EF3" w:rsidRPr="0078137E" w:rsidRDefault="003A7EF3" w:rsidP="00FB6138">
      <w:pPr>
        <w:pStyle w:val="Reference"/>
        <w:numPr>
          <w:ilvl w:val="0"/>
          <w:numId w:val="0"/>
        </w:numPr>
        <w:ind w:left="567" w:hanging="567"/>
      </w:pPr>
      <w:bookmarkStart w:id="45" w:name="_In-sequence_SDU_delivery"/>
      <w:bookmarkEnd w:id="45"/>
    </w:p>
    <w:sectPr w:rsidR="003A7EF3" w:rsidRPr="0078137E" w:rsidSect="00C02A4C">
      <w:headerReference w:type="even" r:id="rId25"/>
      <w:footerReference w:type="default" r:id="rId2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9FDA2" w14:textId="77777777" w:rsidR="00484C75" w:rsidRDefault="00484C75">
      <w:r>
        <w:separator/>
      </w:r>
    </w:p>
  </w:endnote>
  <w:endnote w:type="continuationSeparator" w:id="0">
    <w:p w14:paraId="1A55048D" w14:textId="77777777" w:rsidR="00484C75" w:rsidRDefault="00484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D132950" w:rsidR="00F25852" w:rsidRDefault="00F258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F7B6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F7B6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F5066" w14:textId="77777777" w:rsidR="00484C75" w:rsidRDefault="00484C75">
      <w:r>
        <w:separator/>
      </w:r>
    </w:p>
  </w:footnote>
  <w:footnote w:type="continuationSeparator" w:id="0">
    <w:p w14:paraId="5A8D257E" w14:textId="77777777" w:rsidR="00484C75" w:rsidRDefault="00484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F25852" w:rsidRDefault="00F258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9C5ADB"/>
    <w:multiLevelType w:val="hybridMultilevel"/>
    <w:tmpl w:val="B666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04862"/>
    <w:multiLevelType w:val="hybridMultilevel"/>
    <w:tmpl w:val="45B22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3"/>
  </w:num>
  <w:num w:numId="5">
    <w:abstractNumId w:val="7"/>
  </w:num>
  <w:num w:numId="6">
    <w:abstractNumId w:val="14"/>
  </w:num>
  <w:num w:numId="7">
    <w:abstractNumId w:val="17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0"/>
  </w:num>
  <w:num w:numId="15">
    <w:abstractNumId w:val="11"/>
  </w:num>
  <w:num w:numId="16">
    <w:abstractNumId w:val="9"/>
  </w:num>
  <w:num w:numId="17">
    <w:abstractNumId w:val="4"/>
  </w:num>
  <w:num w:numId="1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3006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45298"/>
    <w:rsid w:val="00052A07"/>
    <w:rsid w:val="00052E93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274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1E8C"/>
    <w:rsid w:val="000C2E19"/>
    <w:rsid w:val="000C4C24"/>
    <w:rsid w:val="000C5331"/>
    <w:rsid w:val="000C5734"/>
    <w:rsid w:val="000D0D07"/>
    <w:rsid w:val="000D4797"/>
    <w:rsid w:val="000D4D2B"/>
    <w:rsid w:val="000E0527"/>
    <w:rsid w:val="000E1E92"/>
    <w:rsid w:val="000E6423"/>
    <w:rsid w:val="000F06D6"/>
    <w:rsid w:val="000F0EB1"/>
    <w:rsid w:val="000F1106"/>
    <w:rsid w:val="000F1BA2"/>
    <w:rsid w:val="000F3BE9"/>
    <w:rsid w:val="000F3F6C"/>
    <w:rsid w:val="000F6DF3"/>
    <w:rsid w:val="000F79E5"/>
    <w:rsid w:val="001005FF"/>
    <w:rsid w:val="001062FB"/>
    <w:rsid w:val="001063E6"/>
    <w:rsid w:val="00110F6B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4BF5"/>
    <w:rsid w:val="00135252"/>
    <w:rsid w:val="00137AB5"/>
    <w:rsid w:val="00137F0B"/>
    <w:rsid w:val="0014677B"/>
    <w:rsid w:val="001468F5"/>
    <w:rsid w:val="00151E23"/>
    <w:rsid w:val="001526E0"/>
    <w:rsid w:val="0015373E"/>
    <w:rsid w:val="001551B5"/>
    <w:rsid w:val="00156291"/>
    <w:rsid w:val="0016272D"/>
    <w:rsid w:val="00162BC3"/>
    <w:rsid w:val="001642D1"/>
    <w:rsid w:val="00164906"/>
    <w:rsid w:val="001659C1"/>
    <w:rsid w:val="00173A8E"/>
    <w:rsid w:val="0018143F"/>
    <w:rsid w:val="001844A4"/>
    <w:rsid w:val="00185202"/>
    <w:rsid w:val="001868F8"/>
    <w:rsid w:val="00190AC1"/>
    <w:rsid w:val="0019341A"/>
    <w:rsid w:val="00197DF9"/>
    <w:rsid w:val="001A16B4"/>
    <w:rsid w:val="001A1987"/>
    <w:rsid w:val="001A2564"/>
    <w:rsid w:val="001A4B14"/>
    <w:rsid w:val="001A6173"/>
    <w:rsid w:val="001A6CBA"/>
    <w:rsid w:val="001A7776"/>
    <w:rsid w:val="001B0D97"/>
    <w:rsid w:val="001B5A5D"/>
    <w:rsid w:val="001C1CE5"/>
    <w:rsid w:val="001C21D1"/>
    <w:rsid w:val="001C3D2A"/>
    <w:rsid w:val="001D3AA2"/>
    <w:rsid w:val="001D51BA"/>
    <w:rsid w:val="001D6342"/>
    <w:rsid w:val="001D6D53"/>
    <w:rsid w:val="001E2560"/>
    <w:rsid w:val="001E432C"/>
    <w:rsid w:val="001E58E2"/>
    <w:rsid w:val="001E7AED"/>
    <w:rsid w:val="001F3916"/>
    <w:rsid w:val="001F3C28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CB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3590A"/>
    <w:rsid w:val="002412B5"/>
    <w:rsid w:val="00241559"/>
    <w:rsid w:val="002435B3"/>
    <w:rsid w:val="002451ED"/>
    <w:rsid w:val="002458EB"/>
    <w:rsid w:val="002500C8"/>
    <w:rsid w:val="00253F47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5B"/>
    <w:rsid w:val="002737F4"/>
    <w:rsid w:val="002805F5"/>
    <w:rsid w:val="00280751"/>
    <w:rsid w:val="0028280A"/>
    <w:rsid w:val="00284DF6"/>
    <w:rsid w:val="002858A0"/>
    <w:rsid w:val="00286ACD"/>
    <w:rsid w:val="00286B29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2184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0DDA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28BD"/>
    <w:rsid w:val="00356A14"/>
    <w:rsid w:val="00357380"/>
    <w:rsid w:val="003602D9"/>
    <w:rsid w:val="003604CE"/>
    <w:rsid w:val="003675B1"/>
    <w:rsid w:val="00370E47"/>
    <w:rsid w:val="003742AC"/>
    <w:rsid w:val="00374ADB"/>
    <w:rsid w:val="00377CE1"/>
    <w:rsid w:val="00385BF0"/>
    <w:rsid w:val="00386439"/>
    <w:rsid w:val="00386968"/>
    <w:rsid w:val="003939FF"/>
    <w:rsid w:val="003A0E41"/>
    <w:rsid w:val="003A1D62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3F9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37E11"/>
    <w:rsid w:val="00441782"/>
    <w:rsid w:val="00441A92"/>
    <w:rsid w:val="00444F56"/>
    <w:rsid w:val="00446488"/>
    <w:rsid w:val="004517AA"/>
    <w:rsid w:val="00452CAC"/>
    <w:rsid w:val="00457565"/>
    <w:rsid w:val="00457B71"/>
    <w:rsid w:val="00462A9A"/>
    <w:rsid w:val="004633B5"/>
    <w:rsid w:val="00465ABC"/>
    <w:rsid w:val="004669E2"/>
    <w:rsid w:val="00470AAD"/>
    <w:rsid w:val="00470C31"/>
    <w:rsid w:val="004734D0"/>
    <w:rsid w:val="0047556B"/>
    <w:rsid w:val="00477768"/>
    <w:rsid w:val="00484C75"/>
    <w:rsid w:val="00490A29"/>
    <w:rsid w:val="00492BC5"/>
    <w:rsid w:val="004964E6"/>
    <w:rsid w:val="004964F1"/>
    <w:rsid w:val="004A16A0"/>
    <w:rsid w:val="004A16BC"/>
    <w:rsid w:val="004A2B94"/>
    <w:rsid w:val="004B7C0C"/>
    <w:rsid w:val="004C3898"/>
    <w:rsid w:val="004C4AAB"/>
    <w:rsid w:val="004C65DA"/>
    <w:rsid w:val="004D36B1"/>
    <w:rsid w:val="004D7EBD"/>
    <w:rsid w:val="004E24AD"/>
    <w:rsid w:val="004E2680"/>
    <w:rsid w:val="004E28F9"/>
    <w:rsid w:val="004E4153"/>
    <w:rsid w:val="004E462E"/>
    <w:rsid w:val="004E56DC"/>
    <w:rsid w:val="004E7573"/>
    <w:rsid w:val="004E76F4"/>
    <w:rsid w:val="004F0B4E"/>
    <w:rsid w:val="004F0B6C"/>
    <w:rsid w:val="004F2078"/>
    <w:rsid w:val="004F4DA3"/>
    <w:rsid w:val="004F5BF6"/>
    <w:rsid w:val="004F5D4B"/>
    <w:rsid w:val="00506557"/>
    <w:rsid w:val="0050677A"/>
    <w:rsid w:val="005108C4"/>
    <w:rsid w:val="005108D8"/>
    <w:rsid w:val="005116F9"/>
    <w:rsid w:val="0051205F"/>
    <w:rsid w:val="005153A7"/>
    <w:rsid w:val="005219CF"/>
    <w:rsid w:val="005233B7"/>
    <w:rsid w:val="00532C9A"/>
    <w:rsid w:val="00534B59"/>
    <w:rsid w:val="00536759"/>
    <w:rsid w:val="00537C62"/>
    <w:rsid w:val="00542D45"/>
    <w:rsid w:val="00546970"/>
    <w:rsid w:val="00554192"/>
    <w:rsid w:val="00554E19"/>
    <w:rsid w:val="00560B2C"/>
    <w:rsid w:val="0056121F"/>
    <w:rsid w:val="005703DB"/>
    <w:rsid w:val="00570CF0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6FC4"/>
    <w:rsid w:val="005C74FB"/>
    <w:rsid w:val="005D1602"/>
    <w:rsid w:val="005E385F"/>
    <w:rsid w:val="005E4479"/>
    <w:rsid w:val="005E5B81"/>
    <w:rsid w:val="005E6EC4"/>
    <w:rsid w:val="005F2CB1"/>
    <w:rsid w:val="005F3025"/>
    <w:rsid w:val="005F618C"/>
    <w:rsid w:val="005F70BD"/>
    <w:rsid w:val="0060283C"/>
    <w:rsid w:val="00604F14"/>
    <w:rsid w:val="0061036E"/>
    <w:rsid w:val="00611B83"/>
    <w:rsid w:val="00613257"/>
    <w:rsid w:val="00617932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7F5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78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18C"/>
    <w:rsid w:val="006A6585"/>
    <w:rsid w:val="006A6763"/>
    <w:rsid w:val="006A697B"/>
    <w:rsid w:val="006A7A70"/>
    <w:rsid w:val="006A7AFF"/>
    <w:rsid w:val="006B1816"/>
    <w:rsid w:val="006B2099"/>
    <w:rsid w:val="006B2209"/>
    <w:rsid w:val="006B50CF"/>
    <w:rsid w:val="006C03B8"/>
    <w:rsid w:val="006C5EC9"/>
    <w:rsid w:val="006C6059"/>
    <w:rsid w:val="006C7522"/>
    <w:rsid w:val="006D1BCE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2FD"/>
    <w:rsid w:val="006F19AE"/>
    <w:rsid w:val="006F1B70"/>
    <w:rsid w:val="006F341D"/>
    <w:rsid w:val="006F3CDE"/>
    <w:rsid w:val="006F567B"/>
    <w:rsid w:val="006F58D4"/>
    <w:rsid w:val="006F7B6A"/>
    <w:rsid w:val="0070346E"/>
    <w:rsid w:val="00704C41"/>
    <w:rsid w:val="00704EDB"/>
    <w:rsid w:val="00706101"/>
    <w:rsid w:val="0070615A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323"/>
    <w:rsid w:val="00740E58"/>
    <w:rsid w:val="0074308E"/>
    <w:rsid w:val="007445A0"/>
    <w:rsid w:val="0074524B"/>
    <w:rsid w:val="00747D8B"/>
    <w:rsid w:val="00751228"/>
    <w:rsid w:val="007545E8"/>
    <w:rsid w:val="00754854"/>
    <w:rsid w:val="007571E1"/>
    <w:rsid w:val="007604B2"/>
    <w:rsid w:val="00765281"/>
    <w:rsid w:val="007656F2"/>
    <w:rsid w:val="00766BAD"/>
    <w:rsid w:val="007679B0"/>
    <w:rsid w:val="007741FE"/>
    <w:rsid w:val="007755F2"/>
    <w:rsid w:val="00776971"/>
    <w:rsid w:val="00777466"/>
    <w:rsid w:val="00777D37"/>
    <w:rsid w:val="0078137E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5B0D"/>
    <w:rsid w:val="007B7374"/>
    <w:rsid w:val="007C05DD"/>
    <w:rsid w:val="007C366D"/>
    <w:rsid w:val="007C3D18"/>
    <w:rsid w:val="007C60BF"/>
    <w:rsid w:val="007C6A07"/>
    <w:rsid w:val="007C75A1"/>
    <w:rsid w:val="007C77A5"/>
    <w:rsid w:val="007D04E5"/>
    <w:rsid w:val="007D35CC"/>
    <w:rsid w:val="007D5901"/>
    <w:rsid w:val="007D7526"/>
    <w:rsid w:val="007E4610"/>
    <w:rsid w:val="007E4715"/>
    <w:rsid w:val="007E505B"/>
    <w:rsid w:val="007E7091"/>
    <w:rsid w:val="007F75D5"/>
    <w:rsid w:val="00801D0B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448"/>
    <w:rsid w:val="00827D6F"/>
    <w:rsid w:val="00830E92"/>
    <w:rsid w:val="008376AC"/>
    <w:rsid w:val="0084020E"/>
    <w:rsid w:val="008444E8"/>
    <w:rsid w:val="00844E80"/>
    <w:rsid w:val="00846FE7"/>
    <w:rsid w:val="00852A79"/>
    <w:rsid w:val="00856911"/>
    <w:rsid w:val="00863FC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E80"/>
    <w:rsid w:val="00894A88"/>
    <w:rsid w:val="00895386"/>
    <w:rsid w:val="008A21FF"/>
    <w:rsid w:val="008A2CE2"/>
    <w:rsid w:val="008A30AC"/>
    <w:rsid w:val="008A3852"/>
    <w:rsid w:val="008A44B8"/>
    <w:rsid w:val="008A5147"/>
    <w:rsid w:val="008A51A8"/>
    <w:rsid w:val="008A54C7"/>
    <w:rsid w:val="008A5DF3"/>
    <w:rsid w:val="008A77D8"/>
    <w:rsid w:val="008B0483"/>
    <w:rsid w:val="008B05D5"/>
    <w:rsid w:val="008B120C"/>
    <w:rsid w:val="008B51A0"/>
    <w:rsid w:val="008B592A"/>
    <w:rsid w:val="008B7B5C"/>
    <w:rsid w:val="008C0C99"/>
    <w:rsid w:val="008C1E6A"/>
    <w:rsid w:val="008C2017"/>
    <w:rsid w:val="008C4958"/>
    <w:rsid w:val="008C4BAA"/>
    <w:rsid w:val="008C6AE8"/>
    <w:rsid w:val="008C7573"/>
    <w:rsid w:val="008D2EDD"/>
    <w:rsid w:val="008D34F1"/>
    <w:rsid w:val="008D39D8"/>
    <w:rsid w:val="008D54DE"/>
    <w:rsid w:val="008D6D1A"/>
    <w:rsid w:val="008E0639"/>
    <w:rsid w:val="008E065E"/>
    <w:rsid w:val="008E0927"/>
    <w:rsid w:val="008E1909"/>
    <w:rsid w:val="008F1EAB"/>
    <w:rsid w:val="008F33DC"/>
    <w:rsid w:val="008F477F"/>
    <w:rsid w:val="008F71EF"/>
    <w:rsid w:val="00902350"/>
    <w:rsid w:val="0090336B"/>
    <w:rsid w:val="0090428F"/>
    <w:rsid w:val="009053AA"/>
    <w:rsid w:val="00906939"/>
    <w:rsid w:val="00910B7D"/>
    <w:rsid w:val="00911DFB"/>
    <w:rsid w:val="0091256D"/>
    <w:rsid w:val="009139D9"/>
    <w:rsid w:val="00914AD8"/>
    <w:rsid w:val="00916079"/>
    <w:rsid w:val="00917C47"/>
    <w:rsid w:val="00917CE9"/>
    <w:rsid w:val="00920BF2"/>
    <w:rsid w:val="00922010"/>
    <w:rsid w:val="00923677"/>
    <w:rsid w:val="009255BE"/>
    <w:rsid w:val="00931BD9"/>
    <w:rsid w:val="00935739"/>
    <w:rsid w:val="009368F3"/>
    <w:rsid w:val="00941636"/>
    <w:rsid w:val="00943742"/>
    <w:rsid w:val="00943D52"/>
    <w:rsid w:val="00945C05"/>
    <w:rsid w:val="00945DBB"/>
    <w:rsid w:val="00946945"/>
    <w:rsid w:val="00947713"/>
    <w:rsid w:val="00950DE7"/>
    <w:rsid w:val="00952A24"/>
    <w:rsid w:val="00953920"/>
    <w:rsid w:val="00953D47"/>
    <w:rsid w:val="00953DBB"/>
    <w:rsid w:val="0095681E"/>
    <w:rsid w:val="009572D4"/>
    <w:rsid w:val="00961921"/>
    <w:rsid w:val="0096430A"/>
    <w:rsid w:val="0096554B"/>
    <w:rsid w:val="0096584A"/>
    <w:rsid w:val="00971F08"/>
    <w:rsid w:val="00972CDD"/>
    <w:rsid w:val="0097493A"/>
    <w:rsid w:val="0097603D"/>
    <w:rsid w:val="00976949"/>
    <w:rsid w:val="00980477"/>
    <w:rsid w:val="00980C23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4E2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23FB"/>
    <w:rsid w:val="009F344F"/>
    <w:rsid w:val="00A031D8"/>
    <w:rsid w:val="00A048A8"/>
    <w:rsid w:val="00A04F49"/>
    <w:rsid w:val="00A13E54"/>
    <w:rsid w:val="00A15745"/>
    <w:rsid w:val="00A15BC9"/>
    <w:rsid w:val="00A17F63"/>
    <w:rsid w:val="00A2193B"/>
    <w:rsid w:val="00A2351A"/>
    <w:rsid w:val="00A264A9"/>
    <w:rsid w:val="00A26E76"/>
    <w:rsid w:val="00A27785"/>
    <w:rsid w:val="00A30187"/>
    <w:rsid w:val="00A3448A"/>
    <w:rsid w:val="00A36297"/>
    <w:rsid w:val="00A41E2B"/>
    <w:rsid w:val="00A42783"/>
    <w:rsid w:val="00A45B74"/>
    <w:rsid w:val="00A52E1D"/>
    <w:rsid w:val="00A61499"/>
    <w:rsid w:val="00A625F9"/>
    <w:rsid w:val="00A62A77"/>
    <w:rsid w:val="00A63483"/>
    <w:rsid w:val="00A657D7"/>
    <w:rsid w:val="00A660AC"/>
    <w:rsid w:val="00A67E6C"/>
    <w:rsid w:val="00A71B99"/>
    <w:rsid w:val="00A72E3B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80A"/>
    <w:rsid w:val="00AC2ECD"/>
    <w:rsid w:val="00AC3119"/>
    <w:rsid w:val="00AC33D9"/>
    <w:rsid w:val="00AC49FB"/>
    <w:rsid w:val="00AC5A10"/>
    <w:rsid w:val="00AC7789"/>
    <w:rsid w:val="00AD0AA3"/>
    <w:rsid w:val="00AD2DAD"/>
    <w:rsid w:val="00AD3F94"/>
    <w:rsid w:val="00AD4A5A"/>
    <w:rsid w:val="00AE27AC"/>
    <w:rsid w:val="00AE2C74"/>
    <w:rsid w:val="00AE2FEB"/>
    <w:rsid w:val="00AE40E0"/>
    <w:rsid w:val="00AE4DBA"/>
    <w:rsid w:val="00AE4F07"/>
    <w:rsid w:val="00AE5302"/>
    <w:rsid w:val="00AF0198"/>
    <w:rsid w:val="00AF1C5D"/>
    <w:rsid w:val="00AF42D7"/>
    <w:rsid w:val="00AF5DCC"/>
    <w:rsid w:val="00B006FE"/>
    <w:rsid w:val="00B007CB"/>
    <w:rsid w:val="00B0146C"/>
    <w:rsid w:val="00B02AA9"/>
    <w:rsid w:val="00B02FA3"/>
    <w:rsid w:val="00B03374"/>
    <w:rsid w:val="00B05084"/>
    <w:rsid w:val="00B1415F"/>
    <w:rsid w:val="00B157F9"/>
    <w:rsid w:val="00B20256"/>
    <w:rsid w:val="00B20D09"/>
    <w:rsid w:val="00B22552"/>
    <w:rsid w:val="00B26190"/>
    <w:rsid w:val="00B2763F"/>
    <w:rsid w:val="00B27AAC"/>
    <w:rsid w:val="00B30929"/>
    <w:rsid w:val="00B372AA"/>
    <w:rsid w:val="00B40445"/>
    <w:rsid w:val="00B41888"/>
    <w:rsid w:val="00B45A52"/>
    <w:rsid w:val="00B46175"/>
    <w:rsid w:val="00B63231"/>
    <w:rsid w:val="00B664C7"/>
    <w:rsid w:val="00B739F6"/>
    <w:rsid w:val="00B75A51"/>
    <w:rsid w:val="00B81A6C"/>
    <w:rsid w:val="00B8254B"/>
    <w:rsid w:val="00B85DE5"/>
    <w:rsid w:val="00B906F7"/>
    <w:rsid w:val="00B90F73"/>
    <w:rsid w:val="00B929D8"/>
    <w:rsid w:val="00B93B59"/>
    <w:rsid w:val="00B9406A"/>
    <w:rsid w:val="00B951EC"/>
    <w:rsid w:val="00BA2280"/>
    <w:rsid w:val="00BA2A08"/>
    <w:rsid w:val="00BA56D2"/>
    <w:rsid w:val="00BA76E0"/>
    <w:rsid w:val="00BB2A25"/>
    <w:rsid w:val="00BB51E9"/>
    <w:rsid w:val="00BB76F2"/>
    <w:rsid w:val="00BC0FDC"/>
    <w:rsid w:val="00BC3053"/>
    <w:rsid w:val="00BC4D2E"/>
    <w:rsid w:val="00BC7B1D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6C0"/>
    <w:rsid w:val="00C053A9"/>
    <w:rsid w:val="00C05706"/>
    <w:rsid w:val="00C062A5"/>
    <w:rsid w:val="00C07377"/>
    <w:rsid w:val="00C10478"/>
    <w:rsid w:val="00C12107"/>
    <w:rsid w:val="00C133E1"/>
    <w:rsid w:val="00C14D4B"/>
    <w:rsid w:val="00C154BB"/>
    <w:rsid w:val="00C15D33"/>
    <w:rsid w:val="00C16FE9"/>
    <w:rsid w:val="00C26A86"/>
    <w:rsid w:val="00C279B5"/>
    <w:rsid w:val="00C27C45"/>
    <w:rsid w:val="00C3582A"/>
    <w:rsid w:val="00C3719D"/>
    <w:rsid w:val="00C54995"/>
    <w:rsid w:val="00C54D41"/>
    <w:rsid w:val="00C60783"/>
    <w:rsid w:val="00C64672"/>
    <w:rsid w:val="00C70697"/>
    <w:rsid w:val="00C72EF4"/>
    <w:rsid w:val="00C7505C"/>
    <w:rsid w:val="00C75D2F"/>
    <w:rsid w:val="00C767BE"/>
    <w:rsid w:val="00C76E3C"/>
    <w:rsid w:val="00C81568"/>
    <w:rsid w:val="00C831A8"/>
    <w:rsid w:val="00C87563"/>
    <w:rsid w:val="00C9027A"/>
    <w:rsid w:val="00C9068E"/>
    <w:rsid w:val="00C922DA"/>
    <w:rsid w:val="00C93C4B"/>
    <w:rsid w:val="00C944AB"/>
    <w:rsid w:val="00C95B40"/>
    <w:rsid w:val="00CA1068"/>
    <w:rsid w:val="00CA1ED8"/>
    <w:rsid w:val="00CA2417"/>
    <w:rsid w:val="00CB1719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226D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2F07"/>
    <w:rsid w:val="00D239A7"/>
    <w:rsid w:val="00D23F47"/>
    <w:rsid w:val="00D27B14"/>
    <w:rsid w:val="00D36E71"/>
    <w:rsid w:val="00D37D87"/>
    <w:rsid w:val="00D40B33"/>
    <w:rsid w:val="00D4318F"/>
    <w:rsid w:val="00D438BF"/>
    <w:rsid w:val="00D440F8"/>
    <w:rsid w:val="00D447E4"/>
    <w:rsid w:val="00D51369"/>
    <w:rsid w:val="00D546FF"/>
    <w:rsid w:val="00D55AD5"/>
    <w:rsid w:val="00D576CA"/>
    <w:rsid w:val="00D61AF5"/>
    <w:rsid w:val="00D652B5"/>
    <w:rsid w:val="00D66155"/>
    <w:rsid w:val="00D708B0"/>
    <w:rsid w:val="00D70B10"/>
    <w:rsid w:val="00D74B53"/>
    <w:rsid w:val="00D77B1D"/>
    <w:rsid w:val="00D8021F"/>
    <w:rsid w:val="00D80383"/>
    <w:rsid w:val="00D823C6"/>
    <w:rsid w:val="00D85181"/>
    <w:rsid w:val="00D86CA3"/>
    <w:rsid w:val="00D871CE"/>
    <w:rsid w:val="00D9196D"/>
    <w:rsid w:val="00D92982"/>
    <w:rsid w:val="00DA2B1B"/>
    <w:rsid w:val="00DA305E"/>
    <w:rsid w:val="00DA5417"/>
    <w:rsid w:val="00DA56E8"/>
    <w:rsid w:val="00DB0A9F"/>
    <w:rsid w:val="00DB2A58"/>
    <w:rsid w:val="00DB377D"/>
    <w:rsid w:val="00DB6EA9"/>
    <w:rsid w:val="00DC2639"/>
    <w:rsid w:val="00DC2D36"/>
    <w:rsid w:val="00DC53EF"/>
    <w:rsid w:val="00DC636C"/>
    <w:rsid w:val="00DE5608"/>
    <w:rsid w:val="00DE58D0"/>
    <w:rsid w:val="00DE654F"/>
    <w:rsid w:val="00DF01A2"/>
    <w:rsid w:val="00DF0B6E"/>
    <w:rsid w:val="00DF15E0"/>
    <w:rsid w:val="00DF37A0"/>
    <w:rsid w:val="00E110E7"/>
    <w:rsid w:val="00E11B20"/>
    <w:rsid w:val="00E17FA2"/>
    <w:rsid w:val="00E22330"/>
    <w:rsid w:val="00E23DFB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EAD"/>
    <w:rsid w:val="00E46886"/>
    <w:rsid w:val="00E47AEF"/>
    <w:rsid w:val="00E53B75"/>
    <w:rsid w:val="00E54E3B"/>
    <w:rsid w:val="00E5689D"/>
    <w:rsid w:val="00E57565"/>
    <w:rsid w:val="00E63838"/>
    <w:rsid w:val="00E63AA1"/>
    <w:rsid w:val="00E64434"/>
    <w:rsid w:val="00E64B80"/>
    <w:rsid w:val="00E67C51"/>
    <w:rsid w:val="00E72EFC"/>
    <w:rsid w:val="00E758EC"/>
    <w:rsid w:val="00E77D45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28A7"/>
    <w:rsid w:val="00EB4EA2"/>
    <w:rsid w:val="00EC27C6"/>
    <w:rsid w:val="00EC4207"/>
    <w:rsid w:val="00EC5653"/>
    <w:rsid w:val="00EC71CE"/>
    <w:rsid w:val="00EC77A7"/>
    <w:rsid w:val="00ED1006"/>
    <w:rsid w:val="00ED6358"/>
    <w:rsid w:val="00EE59C8"/>
    <w:rsid w:val="00EF18FE"/>
    <w:rsid w:val="00EF5787"/>
    <w:rsid w:val="00EF60D0"/>
    <w:rsid w:val="00F044A4"/>
    <w:rsid w:val="00F0528D"/>
    <w:rsid w:val="00F0597D"/>
    <w:rsid w:val="00F06C67"/>
    <w:rsid w:val="00F06DFD"/>
    <w:rsid w:val="00F071D1"/>
    <w:rsid w:val="00F07533"/>
    <w:rsid w:val="00F10629"/>
    <w:rsid w:val="00F15B7B"/>
    <w:rsid w:val="00F15FA5"/>
    <w:rsid w:val="00F209B7"/>
    <w:rsid w:val="00F2376F"/>
    <w:rsid w:val="00F243D8"/>
    <w:rsid w:val="00F25852"/>
    <w:rsid w:val="00F30828"/>
    <w:rsid w:val="00F313D6"/>
    <w:rsid w:val="00F34501"/>
    <w:rsid w:val="00F40F0C"/>
    <w:rsid w:val="00F43C07"/>
    <w:rsid w:val="00F4591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B5F"/>
    <w:rsid w:val="00F8456C"/>
    <w:rsid w:val="00F859D8"/>
    <w:rsid w:val="00F868F5"/>
    <w:rsid w:val="00F8701D"/>
    <w:rsid w:val="00F9056A"/>
    <w:rsid w:val="00F9095D"/>
    <w:rsid w:val="00F90F8D"/>
    <w:rsid w:val="00F92782"/>
    <w:rsid w:val="00F93AA9"/>
    <w:rsid w:val="00F96985"/>
    <w:rsid w:val="00F97838"/>
    <w:rsid w:val="00FA2BB3"/>
    <w:rsid w:val="00FB3A7E"/>
    <w:rsid w:val="00FB4417"/>
    <w:rsid w:val="00FB4C80"/>
    <w:rsid w:val="00FB6138"/>
    <w:rsid w:val="00FB6A6A"/>
    <w:rsid w:val="00FC1BE6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34501"/>
    <w:rPr>
      <w:rFonts w:eastAsiaTheme="minorHAnsi"/>
    </w:rPr>
  </w:style>
  <w:style w:type="paragraph" w:styleId="Heading1">
    <w:name w:val="heading 1"/>
    <w:next w:val="Normal"/>
    <w:link w:val="Heading1Char"/>
    <w:qFormat/>
    <w:rsid w:val="00AE530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E53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E5302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E5302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E530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E530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E530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E530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E530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45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4501"/>
  </w:style>
  <w:style w:type="paragraph" w:styleId="TOC8">
    <w:name w:val="toc 8"/>
    <w:basedOn w:val="TOC1"/>
    <w:semiHidden/>
    <w:rsid w:val="00AE530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E530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E530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E530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E5302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AE5302"/>
    <w:pPr>
      <w:ind w:left="1418" w:hanging="1418"/>
    </w:pPr>
  </w:style>
  <w:style w:type="paragraph" w:styleId="TOC3">
    <w:name w:val="toc 3"/>
    <w:basedOn w:val="TOC2"/>
    <w:semiHidden/>
    <w:rsid w:val="00AE5302"/>
    <w:pPr>
      <w:ind w:left="1134" w:hanging="1134"/>
    </w:pPr>
  </w:style>
  <w:style w:type="paragraph" w:styleId="TOC2">
    <w:name w:val="toc 2"/>
    <w:basedOn w:val="TOC1"/>
    <w:uiPriority w:val="39"/>
    <w:rsid w:val="00AE530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E5302"/>
    <w:pPr>
      <w:ind w:left="284"/>
    </w:pPr>
  </w:style>
  <w:style w:type="paragraph" w:styleId="Index1">
    <w:name w:val="index 1"/>
    <w:basedOn w:val="Normal"/>
    <w:semiHidden/>
    <w:rsid w:val="00AE5302"/>
    <w:pPr>
      <w:keepLines/>
    </w:pPr>
  </w:style>
  <w:style w:type="paragraph" w:styleId="DocumentMap">
    <w:name w:val="Document Map"/>
    <w:basedOn w:val="Normal"/>
    <w:semiHidden/>
    <w:rsid w:val="00AE530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E5302"/>
    <w:pPr>
      <w:ind w:left="851"/>
    </w:pPr>
  </w:style>
  <w:style w:type="paragraph" w:styleId="ListNumber">
    <w:name w:val="List Number"/>
    <w:basedOn w:val="List"/>
    <w:rsid w:val="00AE5302"/>
  </w:style>
  <w:style w:type="paragraph" w:styleId="List">
    <w:name w:val="List"/>
    <w:basedOn w:val="Normal"/>
    <w:rsid w:val="00AE5302"/>
    <w:pPr>
      <w:ind w:left="568" w:hanging="284"/>
    </w:pPr>
  </w:style>
  <w:style w:type="paragraph" w:styleId="Header">
    <w:name w:val="header"/>
    <w:rsid w:val="00AE53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E530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E5302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E5302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AE5302"/>
    <w:pPr>
      <w:ind w:left="1418" w:hanging="1418"/>
    </w:pPr>
  </w:style>
  <w:style w:type="paragraph" w:styleId="TOC6">
    <w:name w:val="toc 6"/>
    <w:basedOn w:val="TOC5"/>
    <w:next w:val="Normal"/>
    <w:semiHidden/>
    <w:rsid w:val="00AE5302"/>
    <w:pPr>
      <w:ind w:left="1985" w:hanging="1985"/>
    </w:pPr>
  </w:style>
  <w:style w:type="paragraph" w:styleId="TOC7">
    <w:name w:val="toc 7"/>
    <w:basedOn w:val="TOC6"/>
    <w:next w:val="Normal"/>
    <w:semiHidden/>
    <w:rsid w:val="00AE5302"/>
    <w:pPr>
      <w:ind w:left="2268" w:hanging="2268"/>
    </w:pPr>
  </w:style>
  <w:style w:type="paragraph" w:styleId="ListBullet2">
    <w:name w:val="List Bullet 2"/>
    <w:basedOn w:val="ListBullet"/>
    <w:rsid w:val="00AE5302"/>
    <w:pPr>
      <w:numPr>
        <w:numId w:val="6"/>
      </w:numPr>
    </w:pPr>
  </w:style>
  <w:style w:type="paragraph" w:styleId="ListBullet">
    <w:name w:val="List Bullet"/>
    <w:basedOn w:val="BodyText"/>
    <w:rsid w:val="00AE5302"/>
    <w:pPr>
      <w:numPr>
        <w:numId w:val="5"/>
      </w:numPr>
    </w:pPr>
  </w:style>
  <w:style w:type="paragraph" w:styleId="ListBullet3">
    <w:name w:val="List Bullet 3"/>
    <w:basedOn w:val="ListBullet2"/>
    <w:rsid w:val="00AE5302"/>
    <w:pPr>
      <w:numPr>
        <w:numId w:val="7"/>
      </w:numPr>
    </w:pPr>
  </w:style>
  <w:style w:type="paragraph" w:customStyle="1" w:styleId="EQ">
    <w:name w:val="EQ"/>
    <w:basedOn w:val="Normal"/>
    <w:next w:val="Normal"/>
    <w:rsid w:val="00AE5302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E5302"/>
    <w:pPr>
      <w:ind w:left="851"/>
    </w:pPr>
  </w:style>
  <w:style w:type="paragraph" w:styleId="List3">
    <w:name w:val="List 3"/>
    <w:basedOn w:val="List2"/>
    <w:rsid w:val="00AE5302"/>
    <w:pPr>
      <w:ind w:left="1135"/>
    </w:pPr>
  </w:style>
  <w:style w:type="paragraph" w:styleId="List4">
    <w:name w:val="List 4"/>
    <w:basedOn w:val="List3"/>
    <w:rsid w:val="00AE5302"/>
    <w:pPr>
      <w:ind w:left="1418"/>
    </w:pPr>
  </w:style>
  <w:style w:type="paragraph" w:styleId="List5">
    <w:name w:val="List 5"/>
    <w:basedOn w:val="List4"/>
    <w:rsid w:val="00AE5302"/>
    <w:pPr>
      <w:ind w:left="1702"/>
    </w:pPr>
  </w:style>
  <w:style w:type="paragraph" w:customStyle="1" w:styleId="EditorsNote">
    <w:name w:val="Editor's Note"/>
    <w:basedOn w:val="Normal"/>
    <w:rsid w:val="00AE5302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E5302"/>
    <w:pPr>
      <w:numPr>
        <w:numId w:val="8"/>
      </w:numPr>
    </w:pPr>
  </w:style>
  <w:style w:type="paragraph" w:styleId="ListBullet5">
    <w:name w:val="List Bullet 5"/>
    <w:basedOn w:val="ListBullet4"/>
    <w:rsid w:val="00AE5302"/>
    <w:pPr>
      <w:numPr>
        <w:numId w:val="4"/>
      </w:numPr>
    </w:pPr>
  </w:style>
  <w:style w:type="paragraph" w:styleId="Footer">
    <w:name w:val="footer"/>
    <w:basedOn w:val="Header"/>
    <w:semiHidden/>
    <w:rsid w:val="00AE5302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E5302"/>
    <w:pPr>
      <w:numPr>
        <w:numId w:val="2"/>
      </w:numPr>
    </w:pPr>
  </w:style>
  <w:style w:type="paragraph" w:styleId="BalloonText">
    <w:name w:val="Balloon Text"/>
    <w:basedOn w:val="Normal"/>
    <w:semiHidden/>
    <w:rsid w:val="00AE530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E5302"/>
  </w:style>
  <w:style w:type="paragraph" w:styleId="BodyText">
    <w:name w:val="Body Text"/>
    <w:basedOn w:val="Normal"/>
    <w:link w:val="BodyTextChar"/>
    <w:qFormat/>
    <w:rsid w:val="00AE5302"/>
  </w:style>
  <w:style w:type="character" w:styleId="Hyperlink">
    <w:name w:val="Hyperlink"/>
    <w:uiPriority w:val="99"/>
    <w:rsid w:val="00AE5302"/>
    <w:rPr>
      <w:color w:val="0000FF"/>
      <w:u w:val="single"/>
      <w:lang w:val="en-GB"/>
    </w:rPr>
  </w:style>
  <w:style w:type="character" w:styleId="FollowedHyperlink">
    <w:name w:val="FollowedHyperlink"/>
    <w:semiHidden/>
    <w:rsid w:val="00AE5302"/>
    <w:rPr>
      <w:color w:val="FF0000"/>
      <w:u w:val="single"/>
    </w:rPr>
  </w:style>
  <w:style w:type="character" w:styleId="CommentReference">
    <w:name w:val="annotation reference"/>
    <w:semiHidden/>
    <w:rsid w:val="00AE5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5302"/>
  </w:style>
  <w:style w:type="paragraph" w:styleId="CommentSubject">
    <w:name w:val="annotation subject"/>
    <w:basedOn w:val="CommentText"/>
    <w:next w:val="CommentText"/>
    <w:semiHidden/>
    <w:rsid w:val="00AE5302"/>
    <w:rPr>
      <w:b/>
      <w:bCs/>
    </w:rPr>
  </w:style>
  <w:style w:type="character" w:customStyle="1" w:styleId="Heading1Char">
    <w:name w:val="Heading 1 Char"/>
    <w:link w:val="Heading1"/>
    <w:rsid w:val="00AE5302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E5302"/>
    <w:pPr>
      <w:spacing w:after="180"/>
    </w:pPr>
  </w:style>
  <w:style w:type="paragraph" w:customStyle="1" w:styleId="B2">
    <w:name w:val="B2"/>
    <w:basedOn w:val="List2"/>
    <w:rsid w:val="00AE5302"/>
    <w:pPr>
      <w:spacing w:after="180"/>
    </w:pPr>
  </w:style>
  <w:style w:type="paragraph" w:customStyle="1" w:styleId="B3">
    <w:name w:val="B3"/>
    <w:basedOn w:val="List3"/>
    <w:rsid w:val="00AE5302"/>
    <w:pPr>
      <w:spacing w:after="180"/>
    </w:pPr>
  </w:style>
  <w:style w:type="paragraph" w:customStyle="1" w:styleId="B4">
    <w:name w:val="B4"/>
    <w:basedOn w:val="List4"/>
    <w:rsid w:val="00AE5302"/>
    <w:pPr>
      <w:spacing w:after="180"/>
    </w:pPr>
  </w:style>
  <w:style w:type="paragraph" w:customStyle="1" w:styleId="Proposal">
    <w:name w:val="Proposal"/>
    <w:basedOn w:val="Normal"/>
    <w:qFormat/>
    <w:rsid w:val="00AE530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E5302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E5302"/>
    <w:pPr>
      <w:spacing w:after="180"/>
    </w:pPr>
  </w:style>
  <w:style w:type="paragraph" w:customStyle="1" w:styleId="EX">
    <w:name w:val="EX"/>
    <w:basedOn w:val="Normal"/>
    <w:rsid w:val="00AE5302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E5302"/>
    <w:pPr>
      <w:spacing w:after="0"/>
    </w:pPr>
  </w:style>
  <w:style w:type="paragraph" w:customStyle="1" w:styleId="TAL">
    <w:name w:val="TAL"/>
    <w:basedOn w:val="Normal"/>
    <w:rsid w:val="00AE5302"/>
    <w:pPr>
      <w:keepNext/>
      <w:keepLines/>
    </w:pPr>
    <w:rPr>
      <w:sz w:val="18"/>
    </w:rPr>
  </w:style>
  <w:style w:type="paragraph" w:customStyle="1" w:styleId="TAC">
    <w:name w:val="TAC"/>
    <w:basedOn w:val="TAL"/>
    <w:rsid w:val="00AE5302"/>
    <w:pPr>
      <w:jc w:val="center"/>
    </w:pPr>
  </w:style>
  <w:style w:type="paragraph" w:customStyle="1" w:styleId="TAH">
    <w:name w:val="TAH"/>
    <w:basedOn w:val="TAC"/>
    <w:rsid w:val="00AE5302"/>
    <w:rPr>
      <w:b/>
    </w:rPr>
  </w:style>
  <w:style w:type="paragraph" w:customStyle="1" w:styleId="TAN">
    <w:name w:val="TAN"/>
    <w:basedOn w:val="TAL"/>
    <w:rsid w:val="00AE5302"/>
    <w:pPr>
      <w:ind w:left="851" w:hanging="851"/>
    </w:pPr>
  </w:style>
  <w:style w:type="paragraph" w:customStyle="1" w:styleId="TAR">
    <w:name w:val="TAR"/>
    <w:basedOn w:val="TAL"/>
    <w:rsid w:val="00AE5302"/>
    <w:pPr>
      <w:jc w:val="right"/>
    </w:pPr>
  </w:style>
  <w:style w:type="paragraph" w:customStyle="1" w:styleId="TH">
    <w:name w:val="TH"/>
    <w:basedOn w:val="Normal"/>
    <w:rsid w:val="00AE5302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E530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E530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E53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53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53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E53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E5302"/>
  </w:style>
  <w:style w:type="paragraph" w:customStyle="1" w:styleId="ZH">
    <w:name w:val="ZH"/>
    <w:rsid w:val="00AE53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E53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E530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E53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5302"/>
    <w:pPr>
      <w:framePr w:wrap="notBeside" w:y="16161"/>
    </w:pPr>
  </w:style>
  <w:style w:type="paragraph" w:customStyle="1" w:styleId="FP">
    <w:name w:val="FP"/>
    <w:basedOn w:val="Normal"/>
    <w:rsid w:val="00AE5302"/>
  </w:style>
  <w:style w:type="paragraph" w:customStyle="1" w:styleId="Observation">
    <w:name w:val="Observation"/>
    <w:basedOn w:val="Proposal"/>
    <w:qFormat/>
    <w:rsid w:val="00AE530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E5302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E5302"/>
    <w:pPr>
      <w:ind w:left="800" w:hanging="200"/>
    </w:p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D2DAD"/>
    <w:rPr>
      <w:color w:val="808080"/>
    </w:rPr>
  </w:style>
  <w:style w:type="character" w:customStyle="1" w:styleId="CommentTextChar">
    <w:name w:val="Comment Text Char"/>
    <w:link w:val="CommentText"/>
    <w:rsid w:val="00C133E1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image" Target="media/image5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emf"/><Relationship Id="rId28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8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CDC5B-8EEB-4C94-AE6D-B8D7A30BD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2018-04-06T08:21:00Z</dcterms:created>
  <dcterms:modified xsi:type="dcterms:W3CDTF">2018-04-06T20:10:00Z</dcterms:modified>
</cp:coreProperties>
</file>